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608330</wp:posOffset>
            </wp:positionH>
            <wp:positionV relativeFrom="page">
              <wp:posOffset>317500</wp:posOffset>
            </wp:positionV>
            <wp:extent cx="633222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2220" cy="22860"/>
                    </a:xfrm>
                    <a:prstGeom prst="rect">
                      <a:avLst/>
                    </a:prstGeom>
                    <a:noFill/>
                  </pic:spPr>
                </pic:pic>
              </a:graphicData>
            </a:graphic>
          </wp:anchor>
        </w:drawing>
        <w:drawing>
          <wp:anchor simplePos="0" relativeHeight="251657728" behindDoc="1" locked="0" layoutInCell="0" allowOverlap="1">
            <wp:simplePos x="0" y="0"/>
            <wp:positionH relativeFrom="page">
              <wp:posOffset>608330</wp:posOffset>
            </wp:positionH>
            <wp:positionV relativeFrom="page">
              <wp:posOffset>363220</wp:posOffset>
            </wp:positionV>
            <wp:extent cx="63322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2220" cy="5715"/>
                    </a:xfrm>
                    <a:prstGeom prst="rect">
                      <a:avLst/>
                    </a:prstGeom>
                    <a:noFill/>
                  </pic:spPr>
                </pic:pic>
              </a:graphicData>
            </a:graphic>
          </wp:anchor>
        </w:drawing>
        <w:t>UNITED STATES</w:t>
      </w:r>
    </w:p>
    <w:p>
      <w:pPr>
        <w:spacing w:after="0" w:line="2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63322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28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63322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29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6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color w:val="auto"/>
        </w:rPr>
        <w:t>Date of Report (Date of earliest event Reported): May 7, 2026</w:t>
      </w:r>
    </w:p>
    <w:p>
      <w:pPr>
        <w:spacing w:after="0" w:line="14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7"/>
          <w:szCs w:val="17"/>
          <w:b w:val="1"/>
          <w:bCs w:val="1"/>
          <w:color w:val="auto"/>
        </w:rPr>
        <w:t>Scholar Rock Holding Corporation</w:t>
      </w:r>
    </w:p>
    <w:p>
      <w:pPr>
        <w:spacing w:after="0" w:line="22"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ectPr>
          <w:pgSz w:w="11900" w:h="16838" w:orient="portrait"/>
          <w:cols w:equalWidth="0" w:num="1">
            <w:col w:w="9982"/>
          </w:cols>
          <w:pgMar w:left="958" w:top="710" w:right="959" w:bottom="1440" w:gutter="0" w:footer="0" w:header="0"/>
        </w:sectPr>
      </w:pPr>
    </w:p>
    <w:p>
      <w:pPr>
        <w:spacing w:after="0" w:line="143" w:lineRule="exact"/>
        <w:rPr>
          <w:sz w:val="24"/>
          <w:szCs w:val="24"/>
          <w:color w:val="auto"/>
        </w:rPr>
      </w:pPr>
    </w:p>
    <w:p>
      <w:pPr>
        <w:jc w:val="center"/>
        <w:ind w:left="662"/>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left="662"/>
        <w:spacing w:after="0"/>
        <w:rPr>
          <w:sz w:val="20"/>
          <w:szCs w:val="20"/>
          <w:color w:val="auto"/>
        </w:rPr>
      </w:pPr>
      <w:r>
        <w:rPr>
          <w:rFonts w:ascii="Times New Roman" w:cs="Times New Roman" w:eastAsia="Times New Roman" w:hAnsi="Times New Roman"/>
          <w:sz w:val="11"/>
          <w:szCs w:val="11"/>
          <w:color w:val="auto"/>
        </w:rPr>
        <w:t>(State or Other Jurisdiction of</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001-38501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2"/>
          <w:szCs w:val="12"/>
          <w:b w:val="1"/>
          <w:bCs w:val="1"/>
          <w:color w:val="auto"/>
        </w:rPr>
        <w:t>82-3750435</w:t>
      </w:r>
    </w:p>
    <w:p>
      <w:pPr>
        <w:spacing w:after="0" w:line="2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1"/>
          <w:szCs w:val="11"/>
          <w:color w:val="auto"/>
        </w:rPr>
        <w:t>(I.R.S. Employer Identification Number)</w:t>
      </w:r>
    </w:p>
    <w:p>
      <w:pPr>
        <w:spacing w:after="0" w:line="17" w:lineRule="exact"/>
        <w:rPr>
          <w:sz w:val="24"/>
          <w:szCs w:val="24"/>
          <w:color w:val="auto"/>
        </w:rPr>
      </w:pPr>
    </w:p>
    <w:p>
      <w:pPr>
        <w:sectPr>
          <w:pgSz w:w="11900" w:h="16838" w:orient="portrait"/>
          <w:cols w:equalWidth="0" w:num="5">
            <w:col w:w="2762" w:space="720"/>
            <w:col w:w="120" w:space="720"/>
            <w:col w:w="1340" w:space="680"/>
            <w:col w:w="220" w:space="720"/>
            <w:col w:w="2700"/>
          </w:cols>
          <w:pgMar w:left="958" w:top="710" w:right="959" w:bottom="1440" w:gutter="0" w:footer="0" w:header="0"/>
          <w:type w:val="continuous"/>
        </w:sectPr>
      </w:pPr>
    </w:p>
    <w:p>
      <w:pPr>
        <w:ind w:left="1362"/>
        <w:spacing w:after="0"/>
        <w:rPr>
          <w:sz w:val="20"/>
          <w:szCs w:val="20"/>
          <w:color w:val="auto"/>
        </w:rPr>
      </w:pPr>
      <w:r>
        <w:rPr>
          <w:rFonts w:ascii="Times New Roman" w:cs="Times New Roman" w:eastAsia="Times New Roman" w:hAnsi="Times New Roman"/>
          <w:sz w:val="12"/>
          <w:szCs w:val="12"/>
          <w:color w:val="auto"/>
        </w:rPr>
        <w:t>Incorporation)</w:t>
      </w:r>
    </w:p>
    <w:p>
      <w:pPr>
        <w:sectPr>
          <w:pgSz w:w="11900" w:h="16838" w:orient="portrait"/>
          <w:cols w:equalWidth="0" w:num="1">
            <w:col w:w="9982"/>
          </w:cols>
          <w:pgMar w:left="958" w:top="710" w:right="959" w:bottom="1440" w:gutter="0" w:footer="0" w:header="0"/>
          <w:type w:val="continuous"/>
        </w:sectPr>
      </w:pPr>
    </w:p>
    <w:p>
      <w:pPr>
        <w:spacing w:after="0" w:line="13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301 Binney Street, 3rd Floor, Cambridge, MA 02142</w:t>
      </w:r>
    </w:p>
    <w:p>
      <w:pPr>
        <w:spacing w:after="0" w:line="2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13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b w:val="1"/>
          <w:bCs w:val="1"/>
          <w:color w:val="auto"/>
        </w:rPr>
        <w:t>(857) 259-3860</w:t>
      </w:r>
    </w:p>
    <w:p>
      <w:pPr>
        <w:spacing w:after="0" w:line="2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2"/>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442" w:hanging="442"/>
        <w:spacing w:after="0"/>
        <w:tabs>
          <w:tab w:leader="none" w:pos="44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42" w:hanging="442"/>
        <w:spacing w:after="0"/>
        <w:tabs>
          <w:tab w:leader="none" w:pos="44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42" w:hanging="442"/>
        <w:spacing w:after="0"/>
        <w:tabs>
          <w:tab w:leader="none" w:pos="44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 w:right="4180" w:hanging="2"/>
        <w:spacing w:after="0" w:line="530" w:lineRule="auto"/>
        <w:tabs>
          <w:tab w:leader="none" w:pos="45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2" w:type="dxa"/>
        <w:tblCellMar>
          <w:top w:w="0" w:type="dxa"/>
          <w:left w:w="0" w:type="dxa"/>
          <w:bottom w:w="0" w:type="dxa"/>
          <w:right w:w="0" w:type="dxa"/>
        </w:tblCellMar>
      </w:tblPr>
      <w:tr>
        <w:trPr>
          <w:trHeight w:val="154"/>
        </w:trPr>
        <w:tc>
          <w:tcPr>
            <w:tcW w:w="3500" w:type="dxa"/>
            <w:vAlign w:val="bottom"/>
            <w:tcBorders>
              <w:top w:val="single" w:sz="8" w:color="auto"/>
              <w:left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20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30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9"/>
        </w:trPr>
        <w:tc>
          <w:tcPr>
            <w:tcW w:w="3500" w:type="dxa"/>
            <w:vAlign w:val="bottom"/>
            <w:tcBorders>
              <w:left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2"/>
                <w:szCs w:val="12"/>
                <w:color w:val="auto"/>
              </w:rPr>
              <w:t>Common Stock, par value $0.001 per share</w:t>
            </w:r>
          </w:p>
        </w:tc>
        <w:tc>
          <w:tcPr>
            <w:tcW w:w="3200" w:type="dxa"/>
            <w:vAlign w:val="bottom"/>
            <w:tcBorders>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2"/>
                <w:szCs w:val="12"/>
                <w:color w:val="auto"/>
              </w:rPr>
              <w:t>SRRK</w:t>
            </w:r>
          </w:p>
        </w:tc>
        <w:tc>
          <w:tcPr>
            <w:tcW w:w="330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33" w:lineRule="exact"/>
        <w:rPr>
          <w:sz w:val="24"/>
          <w:szCs w:val="24"/>
          <w:color w:val="auto"/>
        </w:rPr>
      </w:pPr>
    </w:p>
    <w:p>
      <w:pPr>
        <w:ind w:left="2" w:right="1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2"/>
          <w:szCs w:val="12"/>
          <w:color w:val="auto"/>
        </w:rPr>
        <w:t>☐</w:t>
      </w:r>
    </w:p>
    <w:p>
      <w:pPr>
        <w:spacing w:after="0" w:line="116" w:lineRule="exact"/>
        <w:rPr>
          <w:sz w:val="24"/>
          <w:szCs w:val="24"/>
          <w:color w:val="auto"/>
        </w:rPr>
      </w:pPr>
    </w:p>
    <w:p>
      <w:pPr>
        <w:ind w:left="2" w:right="16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635000</wp:posOffset>
            </wp:positionV>
            <wp:extent cx="63322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22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3322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222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633222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2220" cy="22860"/>
                    </a:xfrm>
                    <a:prstGeom prst="rect">
                      <a:avLst/>
                    </a:prstGeom>
                    <a:noFill/>
                  </pic:spPr>
                </pic:pic>
              </a:graphicData>
            </a:graphic>
          </wp:anchor>
        </w:drawing>
      </w:r>
    </w:p>
    <w:p>
      <w:pPr>
        <w:sectPr>
          <w:pgSz w:w="11900" w:h="16838" w:orient="portrait"/>
          <w:cols w:equalWidth="0" w:num="1">
            <w:col w:w="9982"/>
          </w:cols>
          <w:pgMar w:left="958" w:top="710" w:right="95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May 7, 2026, Scholar Rock Holding Corporation (the “Company”) issued a press release announcing its financial and operating results for the quarter ended March 31, 2026.</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 copy of the press release is being furnished as Exhibit 99.1 to this Report on Form 8-K.</w:t>
      </w:r>
    </w:p>
    <w:p>
      <w:pPr>
        <w:spacing w:after="0" w:line="139" w:lineRule="exact"/>
        <w:rPr>
          <w:sz w:val="20"/>
          <w:szCs w:val="20"/>
          <w:color w:val="auto"/>
        </w:rPr>
      </w:pPr>
    </w:p>
    <w:p>
      <w:pPr>
        <w:ind w:left="20" w:right="219"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Company will utilize slides during its conference call scheduled for 8:00 am ET on May 7, 2026 to announce its financial and operating results for the fiscal quarter ended March 31, 2026 and to provide a business update. A copy of the slides is furnished as Exhibit 99.2 to this Current Report on Form 8-K and is incorporated by reference into this Item 7.01 as if fully set forth herein.</w:t>
      </w:r>
    </w:p>
    <w:p>
      <w:pPr>
        <w:spacing w:after="0" w:line="119" w:lineRule="exact"/>
        <w:rPr>
          <w:sz w:val="20"/>
          <w:szCs w:val="20"/>
          <w:color w:val="auto"/>
        </w:rPr>
      </w:pPr>
    </w:p>
    <w:p>
      <w:pPr>
        <w:jc w:val="both"/>
        <w:ind w:left="20" w:right="299"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and Exhibits 99.1 and 99.2 attached hereto are intended to be furnished and shall not be deemed “filed” for purposes of Section 18 of the Exchange Act, or otherwise subject to the liabilities of that section, nor shall they be deemed incorporated by reference in any filing under the Securities Act or the Exchange Act, except as expressly set forth by specific reference in such filing.</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 Exhibits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83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61"/>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Press Release issued by the Company on May 7, 2026, furnished hereto.</w:t>
            </w:r>
          </w:p>
        </w:tc>
        <w:tc>
          <w:tcPr>
            <w:tcW w:w="48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99.2</w:t>
            </w:r>
          </w:p>
        </w:tc>
        <w:tc>
          <w:tcPr>
            <w:tcW w:w="378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99"/>
              </w:rPr>
              <w:t>Scholar Rock Holding Corporation Corporate Presentation dated May 7, 2026,</w:t>
            </w:r>
          </w:p>
        </w:tc>
        <w:tc>
          <w:tcPr>
            <w:tcW w:w="4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620" w:type="dxa"/>
            <w:vAlign w:val="bottom"/>
            <w:vMerge w:val="continue"/>
          </w:tcPr>
          <w:p>
            <w:pPr>
              <w:spacing w:after="0"/>
              <w:rPr>
                <w:sz w:val="6"/>
                <w:szCs w:val="6"/>
                <w:color w:val="auto"/>
              </w:rPr>
            </w:pPr>
          </w:p>
        </w:tc>
        <w:tc>
          <w:tcPr>
            <w:tcW w:w="820" w:type="dxa"/>
            <w:vAlign w:val="bottom"/>
            <w:vMerge w:val="restart"/>
          </w:tcPr>
          <w:p>
            <w:pPr>
              <w:spacing w:after="0" w:line="133" w:lineRule="exact"/>
              <w:rPr>
                <w:sz w:val="20"/>
                <w:szCs w:val="20"/>
                <w:color w:val="auto"/>
              </w:rPr>
            </w:pPr>
            <w:r>
              <w:rPr>
                <w:rFonts w:ascii="Times New Roman" w:cs="Times New Roman" w:eastAsia="Times New Roman" w:hAnsi="Times New Roman"/>
                <w:sz w:val="12"/>
                <w:szCs w:val="12"/>
                <w:color w:val="0000EE"/>
                <w:w w:val="98"/>
              </w:rPr>
              <w:t>furnished hereto.</w:t>
            </w:r>
          </w:p>
        </w:tc>
        <w:tc>
          <w:tcPr>
            <w:tcW w:w="7520" w:type="dxa"/>
            <w:vAlign w:val="bottom"/>
            <w:gridSpan w:val="3"/>
            <w:vMerge w:val="restart"/>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20" w:type="dxa"/>
            <w:vAlign w:val="bottom"/>
          </w:tcPr>
          <w:p>
            <w:pPr>
              <w:spacing w:after="0"/>
              <w:rPr>
                <w:sz w:val="4"/>
                <w:szCs w:val="4"/>
                <w:color w:val="auto"/>
              </w:rPr>
            </w:pPr>
          </w:p>
        </w:tc>
        <w:tc>
          <w:tcPr>
            <w:tcW w:w="820" w:type="dxa"/>
            <w:vAlign w:val="bottom"/>
            <w:tcBorders>
              <w:bottom w:val="single" w:sz="8" w:color="0000EE"/>
            </w:tcBorders>
            <w:vMerge w:val="continue"/>
          </w:tcPr>
          <w:p>
            <w:pPr>
              <w:spacing w:after="0"/>
              <w:rPr>
                <w:sz w:val="4"/>
                <w:szCs w:val="4"/>
                <w:color w:val="auto"/>
              </w:rPr>
            </w:pPr>
          </w:p>
        </w:tc>
        <w:tc>
          <w:tcPr>
            <w:tcW w:w="7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3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Scholar Rock Holding Corporation</w:t>
      </w:r>
    </w:p>
    <w:p>
      <w:pPr>
        <w:spacing w:after="0" w:line="154" w:lineRule="exact"/>
        <w:rPr>
          <w:sz w:val="20"/>
          <w:szCs w:val="20"/>
          <w:color w:val="auto"/>
        </w:rPr>
      </w:pPr>
    </w:p>
    <w:p>
      <w:pPr>
        <w:ind w:left="20"/>
        <w:spacing w:after="0"/>
        <w:tabs>
          <w:tab w:leader="none" w:pos="4580" w:val="left"/>
        </w:tabs>
        <w:rPr>
          <w:sz w:val="20"/>
          <w:szCs w:val="20"/>
          <w:color w:val="auto"/>
        </w:rPr>
      </w:pPr>
      <w:r>
        <w:rPr>
          <w:rFonts w:ascii="Times New Roman" w:cs="Times New Roman" w:eastAsia="Times New Roman" w:hAnsi="Times New Roman"/>
          <w:sz w:val="12"/>
          <w:szCs w:val="12"/>
          <w:color w:val="auto"/>
        </w:rPr>
        <w:t>Date: May 7, 2026</w:t>
      </w:r>
      <w:r>
        <w:rPr>
          <w:sz w:val="20"/>
          <w:szCs w:val="20"/>
          <w:color w:val="auto"/>
        </w:rPr>
        <w:tab/>
      </w:r>
      <w:r>
        <w:rPr>
          <w:rFonts w:ascii="Times New Roman" w:cs="Times New Roman" w:eastAsia="Times New Roman" w:hAnsi="Times New Roman"/>
          <w:sz w:val="12"/>
          <w:szCs w:val="12"/>
          <w:color w:val="auto"/>
        </w:rPr>
        <w:t>By:  /s/ Junlin Ho</w:t>
      </w:r>
    </w:p>
    <w:p>
      <w:pPr>
        <w:spacing w:after="0" w:line="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Junlin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-85725</wp:posOffset>
            </wp:positionV>
            <wp:extent cx="262318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571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12"/>
          <w:szCs w:val="12"/>
          <w:color w:val="auto"/>
        </w:rPr>
        <w:t>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421005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37465</wp:posOffset>
            </wp:positionV>
            <wp:extent cx="6800850" cy="6526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65265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2026-05-07T06:17:59Z</dcterms:created>
  <dcterms:modified xsi:type="dcterms:W3CDTF">2026-05-07T06:17:59Z</dcterms:modified>
</cp:coreProperties>
</file>