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049-3_4seq1.xml.htm"/>
      <w:bookmarkStart w:id="1" w:name="kstm2617049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Gilman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BINNEY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Scholar Rock Holding Corp</w:t>
              </w:r>
            </w:hyperlink>
            <w:r>
              <w:rPr/>
              <w:t xml:space="preserve"> [ </w:t>
            </w:r>
            <w:r>
              <w:rPr>
                <w:rFonts w:ascii="Times;serif" w:hAnsi="Times;serif"/>
                <w:color w:val="0000FF"/>
                <w:sz w:val="24"/>
                <w:shd w:fill="FFFFFF" w:val="clear"/>
              </w:rPr>
              <w:t>SRRK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6,839</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62,055</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upon vesting of the RSU, one share of the Issuer's common stock. The shares subject to this RSU vest on the earlier of June 15, 2027 or on the date of the Issuer's next Annual Meeting subject to continued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55,216 shares of common stock and 6,839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to vest and become fully exercisable on the earlier of the first anniversary following the date of grant or on the date of the Issuer's next Annual Meeting, subject to continued service to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Junlin Ho, Attorney-in-Fact for Michael Gilman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1144" TargetMode="External"/><Relationship Id="rId5" Type="http://schemas.openxmlformats.org/officeDocument/2006/relationships/hyperlink" Target="http://www.sec.gov/cgi-bin/browse-edgar?action=getcompany&amp;CIK=0001727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3639</Characters>
  <CharactersWithSpaces>4256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