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68580</wp:posOffset>
            </wp:positionV>
            <wp:extent cx="3154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95250</wp:posOffset>
            </wp:positionV>
            <wp:extent cx="3154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06" w:lineRule="exact"/>
        <w:rPr>
          <w:sz w:val="24"/>
          <w:szCs w:val="24"/>
          <w:color w:val="auto"/>
        </w:rPr>
      </w:pPr>
    </w:p>
    <w:p>
      <w:pPr>
        <w:ind w:left="300" w:right="280" w:hanging="265"/>
        <w:spacing w:after="0" w:line="273" w:lineRule="auto"/>
        <w:tabs>
          <w:tab w:leader="none" w:pos="3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260" w:right="300" w:hanging="225"/>
        <w:spacing w:after="0" w:line="273" w:lineRule="auto"/>
        <w:tabs>
          <w:tab w:leader="none" w:pos="2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TRANSITION PERIOD FROM _ TO _</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001-38501</w:t>
      </w:r>
    </w:p>
    <w:p>
      <w:pPr>
        <w:spacing w:after="0" w:line="2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______________________________________________</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SCHOLAR ROCK HOLDING CORPORATION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77470</wp:posOffset>
            </wp:positionV>
            <wp:extent cx="3154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18" w:lineRule="exact"/>
        <w:rPr>
          <w:sz w:val="24"/>
          <w:szCs w:val="24"/>
          <w:color w:val="auto"/>
        </w:rPr>
      </w:pPr>
    </w:p>
    <w:tbl>
      <w:tblPr>
        <w:tblLayout w:type="fixed"/>
        <w:tblInd w:w="1140" w:type="dxa"/>
        <w:tblCellMar>
          <w:top w:w="0" w:type="dxa"/>
          <w:left w:w="0" w:type="dxa"/>
          <w:bottom w:w="0" w:type="dxa"/>
          <w:right w:w="0" w:type="dxa"/>
        </w:tblCellMar>
      </w:tblPr>
      <w:tr>
        <w:trPr>
          <w:trHeight w:val="200"/>
        </w:trPr>
        <w:tc>
          <w:tcPr>
            <w:tcW w:w="418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Delaware</w:t>
            </w:r>
          </w:p>
        </w:tc>
        <w:tc>
          <w:tcPr>
            <w:tcW w:w="2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82-3750435</w:t>
            </w:r>
          </w:p>
        </w:tc>
      </w:tr>
      <w:tr>
        <w:trPr>
          <w:trHeight w:val="203"/>
        </w:trPr>
        <w:tc>
          <w:tcPr>
            <w:tcW w:w="418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60" w:type="dxa"/>
            <w:vAlign w:val="bottom"/>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18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60" w:type="dxa"/>
            <w:vAlign w:val="bottom"/>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9"/>
        </w:trPr>
        <w:tc>
          <w:tcPr>
            <w:tcW w:w="418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301 Binney Street, 3rd Floor</w:t>
            </w:r>
          </w:p>
        </w:tc>
        <w:tc>
          <w:tcPr>
            <w:tcW w:w="27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02142</w:t>
            </w:r>
          </w:p>
        </w:tc>
      </w:tr>
      <w:tr>
        <w:trPr>
          <w:trHeight w:val="200"/>
        </w:trPr>
        <w:tc>
          <w:tcPr>
            <w:tcW w:w="418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Cambridge, Massachusetts</w:t>
            </w:r>
          </w:p>
        </w:tc>
        <w:tc>
          <w:tcPr>
            <w:tcW w:w="2760" w:type="dxa"/>
            <w:vAlign w:val="bottom"/>
          </w:tcPr>
          <w:p>
            <w:pPr>
              <w:spacing w:after="0"/>
              <w:rPr>
                <w:sz w:val="17"/>
                <w:szCs w:val="17"/>
                <w:color w:val="auto"/>
              </w:rPr>
            </w:pPr>
          </w:p>
        </w:tc>
      </w:tr>
      <w:tr>
        <w:trPr>
          <w:trHeight w:val="212"/>
        </w:trPr>
        <w:tc>
          <w:tcPr>
            <w:tcW w:w="418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60" w:type="dxa"/>
            <w:vAlign w:val="bottom"/>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(857) 259 3860</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ectPr>
          <w:pgSz w:w="11900" w:h="16838" w:orient="portrait"/>
          <w:cols w:equalWidth="0" w:num="1">
            <w:col w:w="9860"/>
          </w:cols>
          <w:pgMar w:left="980" w:top="661" w:right="1059" w:bottom="1440" w:gutter="0" w:footer="0" w:header="0"/>
        </w:sectPr>
      </w:pPr>
    </w:p>
    <w:p>
      <w:pPr>
        <w:spacing w:after="0" w:line="226"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3500" w:space="720"/>
            <w:col w:w="1400" w:space="680"/>
            <w:col w:w="3560"/>
          </w:cols>
          <w:pgMar w:left="980" w:top="661" w:right="105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SRRK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960" w:space="720"/>
            <w:col w:w="1340" w:space="720"/>
            <w:col w:w="3120"/>
          </w:cols>
          <w:pgMar w:left="980" w:top="661" w:right="1059" w:bottom="1440" w:gutter="0" w:footer="0" w:header="0"/>
          <w:type w:val="continuous"/>
        </w:sectPr>
      </w:pPr>
    </w:p>
    <w:p>
      <w:pPr>
        <w:spacing w:after="0" w:line="65"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6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0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132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outstanding shares of the Registrant’s Common Stock as of May 4, 2026 was 119,828,338.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including the documents incorporated by reference, contains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Some of the risks and uncertainties that may cause our actual results, performance or achievements to differ materially from those expressed or implied by forward-looking statements include, among others, the following:</w:t>
      </w:r>
    </w:p>
    <w:p>
      <w:pPr>
        <w:spacing w:after="0" w:line="151" w:lineRule="exact"/>
        <w:rPr>
          <w:sz w:val="20"/>
          <w:szCs w:val="20"/>
          <w:color w:val="auto"/>
        </w:rPr>
      </w:pPr>
    </w:p>
    <w:p>
      <w:pPr>
        <w:ind w:left="720" w:right="19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our ability to obtain and maintain regulatory approval from the U.S. Food and Drug Administration (“FDA”), the European Commission (“EC”) and other regulatory authorities for apitegromab, and any related restrictions, limitations or warnings in the label of any approval for apitegromab;</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of the two fill-finish facilities included in our Biologics License Application (“BLA”);</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a commercial infrastructure to launch and market apitegromab, or otherwise provide access to apitegromab, if and when it is approved or receives pricing or reimbursement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through third party manufacturers, to successfully manufacture commercial supply of apitegromab;</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apitegromab, if approved;</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apitegromab, and our ability to serve those markets, either alone or in combination with others;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apitegromab and its potential advantages over other therapeutic options;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 of orphan drug exclusivity, Orphan Drug designation, Fast Track designation and Rare Pediatric Disease designation for apitegromab;</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executing development programs for additional formulations and indications for apitegromab;</w:t>
      </w:r>
    </w:p>
    <w:p>
      <w:pPr>
        <w:spacing w:after="0" w:line="121"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clinical trials, including the progress, completion, timing of results, and actual results of our clinical trials;</w:t>
      </w:r>
    </w:p>
    <w:p>
      <w:pPr>
        <w:spacing w:after="0" w:line="12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through third party manufacturers, to successfully manufacture our product candidates for clinical trials;</w:t>
      </w:r>
    </w:p>
    <w:p>
      <w:pPr>
        <w:spacing w:after="0" w:line="13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top-line or interim data from our clinical studies may not be predictive of the final or more detailed results of such study or the results of other ongoing or future studies;</w:t>
      </w:r>
    </w:p>
    <w:p>
      <w:pPr>
        <w:spacing w:after="0" w:line="121"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executing a development program for our preclinical product candidates, including SRK-373, SRK-256 and identifying additional product candidates from our preclinical programs and research pipeline;</w:t>
      </w:r>
    </w:p>
    <w:p>
      <w:pPr>
        <w:spacing w:after="0" w:line="13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executives and highly skilled technical and managerial personnel, which could be affected due to any transition in management, or if we fail to recruit additional highly skilled personnel;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 and the duration of such protection and our ability to operate our business without infringing on the intellectual property rights of others;</w:t>
      </w:r>
    </w:p>
    <w:p>
      <w:pPr>
        <w:spacing w:after="0" w:line="148" w:lineRule="exact"/>
        <w:rPr>
          <w:rFonts w:ascii="Times New Roman" w:cs="Times New Roman" w:eastAsia="Times New Roman" w:hAnsi="Times New Roman"/>
          <w:sz w:val="18"/>
          <w:szCs w:val="18"/>
          <w:color w:val="auto"/>
        </w:rPr>
      </w:pPr>
    </w:p>
    <w:p>
      <w:pPr>
        <w:ind w:left="720" w:right="5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generally or on terms acceptable to us, funding for our operations, including funding necessary to commercialize, if approved, apitegromab and complete further development of our current and future product candidates;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the potential of our proprietary platform technology;</w:t>
      </w:r>
    </w:p>
    <w:p>
      <w:pPr>
        <w:spacing w:after="0" w:line="198"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laws and regulations or amendments to existing laws and regulations in the United States and foreign countries;</w:t>
      </w:r>
    </w:p>
    <w:p>
      <w:pPr>
        <w:spacing w:after="0" w:line="12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 of global economic and political developments on our business, including rising inflation and capital market disruptions, tariff policies, economic sanctions and economic slowdowns or recessions or public health pandemics;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98" w:lineRule="exact"/>
        <w:rPr>
          <w:rFonts w:ascii="Times New Roman" w:cs="Times New Roman" w:eastAsia="Times New Roman" w:hAnsi="Times New Roman"/>
          <w:sz w:val="18"/>
          <w:szCs w:val="18"/>
          <w:color w:val="auto"/>
        </w:rPr>
      </w:pPr>
    </w:p>
    <w:p>
      <w:pPr>
        <w:jc w:val="both"/>
        <w:ind w:left="720" w:right="7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cash, cash reserves, and expense levels, future revenues, capital requirements and needs for additional financing, including our expected use of proceeds from our public offerings, and liquidity sources;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Part II, Item 1A “Risk Factors.”</w:t>
      </w:r>
    </w:p>
    <w:p>
      <w:pPr>
        <w:spacing w:after="0" w:line="18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our Quarterly Reports on Form 10-Q for future periods and Current Reports on Form 8-K as we file them with the United States Securities and Exchange Commission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17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data,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SCHOLAR ROCK HOLDING CORPORATION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w w:val="91"/>
              </w:rPr>
              <w:t>Page</w:t>
            </w:r>
          </w:p>
        </w:tc>
      </w:tr>
      <w:tr>
        <w:trPr>
          <w:trHeight w:val="250"/>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3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2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5360" w:type="dxa"/>
            <w:vAlign w:val="bottom"/>
            <w:gridSpan w:val="8"/>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40" w:type="dxa"/>
            <w:vAlign w:val="bottom"/>
          </w:tcPr>
          <w:p>
            <w:pPr>
              <w:spacing w:after="0"/>
              <w:rPr>
                <w:sz w:val="21"/>
                <w:szCs w:val="21"/>
                <w:color w:val="auto"/>
              </w:rPr>
            </w:pPr>
          </w:p>
        </w:tc>
        <w:tc>
          <w:tcPr>
            <w:tcW w:w="7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7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w:t>
            </w:r>
          </w:p>
        </w:tc>
        <w:tc>
          <w:tcPr>
            <w:tcW w:w="700" w:type="dxa"/>
            <w:vAlign w:val="bottom"/>
            <w:gridSpan w:val="2"/>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54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2026 and 2025</w:t>
            </w:r>
          </w:p>
        </w:tc>
        <w:tc>
          <w:tcPr>
            <w:tcW w:w="53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40" w:type="dxa"/>
            <w:vAlign w:val="bottom"/>
          </w:tcPr>
          <w:p>
            <w:pPr>
              <w:spacing w:after="0"/>
              <w:rPr>
                <w:sz w:val="21"/>
                <w:szCs w:val="21"/>
                <w:color w:val="auto"/>
              </w:rPr>
            </w:pPr>
          </w:p>
        </w:tc>
        <w:tc>
          <w:tcPr>
            <w:tcW w:w="72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40" w:type="dxa"/>
            <w:vAlign w:val="bottom"/>
          </w:tcPr>
          <w:p>
            <w:pPr>
              <w:spacing w:after="0"/>
              <w:rPr>
                <w:sz w:val="17"/>
                <w:szCs w:val="17"/>
                <w:color w:val="auto"/>
              </w:rPr>
            </w:pPr>
          </w:p>
        </w:tc>
        <w:tc>
          <w:tcPr>
            <w:tcW w:w="78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7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00" w:type="dxa"/>
            <w:vAlign w:val="bottom"/>
            <w:gridSpan w:val="2"/>
          </w:tcPr>
          <w:p>
            <w:pPr>
              <w:ind w:left="54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7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49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2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000" w:type="dxa"/>
            <w:vAlign w:val="bottom"/>
            <w:gridSpan w:val="12"/>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520"/>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25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5780" w:type="dxa"/>
            <w:vAlign w:val="bottom"/>
            <w:gridSpan w:val="11"/>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18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460" w:type="dxa"/>
            <w:vAlign w:val="bottom"/>
            <w:gridSpan w:val="14"/>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0"/>
        </w:trPr>
        <w:tc>
          <w:tcPr>
            <w:tcW w:w="49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40" w:type="dxa"/>
            <w:vAlign w:val="bottom"/>
            <w:gridSpan w:val="6"/>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2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460" w:type="dxa"/>
            <w:vAlign w:val="bottom"/>
            <w:gridSpan w:val="10"/>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6020" w:type="dxa"/>
            <w:vAlign w:val="bottom"/>
            <w:gridSpan w:val="13"/>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1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2"/>
          </w:tcPr>
          <w:p>
            <w:pPr>
              <w:spacing w:after="0"/>
              <w:rPr>
                <w:sz w:val="21"/>
                <w:szCs w:val="21"/>
                <w:color w:val="auto"/>
              </w:rPr>
            </w:pPr>
          </w:p>
        </w:tc>
        <w:tc>
          <w:tcPr>
            <w:tcW w:w="6480" w:type="dxa"/>
            <w:vAlign w:val="bottom"/>
            <w:gridSpan w:val="15"/>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1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240" w:type="dxa"/>
            <w:vAlign w:val="bottom"/>
            <w:gridSpan w:val="18"/>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430,543</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535,254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259,241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119,103,774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108,461,354 shares issued and outstanding as of March 31, 2026 and December 31, 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(1,300,654)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276,013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535,254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0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4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(105,510)</w:t>
            </w:r>
          </w:p>
        </w:tc>
        <w:tc>
          <w:tcPr>
            <w:tcW w:w="18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127,277,144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111,838,272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(104,914)</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149"/>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9"/>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50"/>
              <w:spacing w:after="0" w:line="150" w:lineRule="exact"/>
              <w:rPr>
                <w:sz w:val="20"/>
                <w:szCs w:val="20"/>
                <w:color w:val="auto"/>
              </w:rPr>
            </w:pPr>
            <w:r>
              <w:rPr>
                <w:rFonts w:ascii="Times New Roman" w:cs="Times New Roman" w:eastAsia="Times New Roman" w:hAnsi="Times New Roman"/>
                <w:sz w:val="13"/>
                <w:szCs w:val="13"/>
                <w:b w:val="1"/>
                <w:bCs w:val="1"/>
                <w:color w:val="auto"/>
              </w:rPr>
              <w:t>Paid</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in</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gridSpan w:val="3"/>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ind w:left="430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700" w:type="dxa"/>
            <w:vAlign w:val="bottom"/>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right"/>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20" w:type="dxa"/>
            <w:vAlign w:val="bottom"/>
          </w:tcPr>
          <w:p>
            <w:pPr>
              <w:jc w:val="center"/>
              <w:ind w:right="5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gridSpan w:val="2"/>
          </w:tcPr>
          <w:p>
            <w:pPr>
              <w:jc w:val="right"/>
              <w:ind w:right="14"/>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108,461,354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$ 1,545,940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(1,300,654)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Sale of common shares, net of issuance costs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2,576,299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846,766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("RSUs") and performance stock units ("PSUs")</w:t>
            </w: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6,804,066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119,103,774</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$ 1,681,368</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690</w:t>
            </w:r>
          </w:p>
        </w:tc>
        <w:tc>
          <w:tcPr>
            <w:tcW w:w="40" w:type="dxa"/>
            <w:vAlign w:val="bottom"/>
          </w:tcPr>
          <w:p>
            <w:pPr>
              <w:spacing w:after="0"/>
              <w:rPr>
                <w:sz w:val="14"/>
                <w:szCs w:val="14"/>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(1,406,164)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276,013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9"/>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50"/>
              <w:spacing w:after="0" w:line="150" w:lineRule="exact"/>
              <w:rPr>
                <w:sz w:val="20"/>
                <w:szCs w:val="20"/>
                <w:color w:val="auto"/>
              </w:rPr>
            </w:pPr>
            <w:r>
              <w:rPr>
                <w:rFonts w:ascii="Times New Roman" w:cs="Times New Roman" w:eastAsia="Times New Roman" w:hAnsi="Times New Roman"/>
                <w:sz w:val="13"/>
                <w:szCs w:val="13"/>
                <w:b w:val="1"/>
                <w:bCs w:val="1"/>
                <w:color w:val="auto"/>
              </w:rPr>
              <w:t>Paid</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in</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gridSpan w:val="3"/>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gridSpan w:val="2"/>
          </w:tcPr>
          <w:p>
            <w:pPr>
              <w:jc w:val="right"/>
              <w:ind w:right="89"/>
              <w:spacing w:after="0" w:line="142" w:lineRule="exact"/>
              <w:rPr>
                <w:sz w:val="20"/>
                <w:szCs w:val="20"/>
                <w:color w:val="auto"/>
              </w:rPr>
            </w:pP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Shares</w:t>
            </w:r>
          </w:p>
        </w:tc>
        <w:tc>
          <w:tcPr>
            <w:tcW w:w="18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20" w:type="dxa"/>
            <w:vAlign w:val="bottom"/>
          </w:tcPr>
          <w:p>
            <w:pPr>
              <w:jc w:val="center"/>
              <w:ind w:right="5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20" w:type="dxa"/>
            <w:vAlign w:val="bottom"/>
            <w:gridSpan w:val="4"/>
          </w:tcPr>
          <w:p>
            <w:pPr>
              <w:ind w:left="60"/>
              <w:spacing w:after="0" w:line="142" w:lineRule="exact"/>
              <w:rPr>
                <w:sz w:val="20"/>
                <w:szCs w:val="20"/>
                <w:color w:val="auto"/>
              </w:rPr>
            </w:pP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Income (Loss)</w:t>
            </w:r>
          </w:p>
        </w:tc>
        <w:tc>
          <w:tcPr>
            <w:tcW w:w="140" w:type="dxa"/>
            <w:vAlign w:val="bottom"/>
            <w:gridSpan w:val="2"/>
          </w:tcPr>
          <w:p>
            <w:pPr>
              <w:jc w:val="right"/>
              <w:ind w:right="14"/>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gridSpan w:val="2"/>
          </w:tcPr>
          <w:p>
            <w:pPr>
              <w:jc w:val="right"/>
              <w:ind w:right="43"/>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93,823,678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$ 1,291,095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(922,715)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368,634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375,939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shares upon RSU vesting</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673,790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94,873,407</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$ 1,309,547</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4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(997,438)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312,333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6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jc w:val="center"/>
              <w:ind w:right="11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investment securities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common shares,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debt facility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debt refinancing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327,334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for non-cash items: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 in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 exercised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 from ATM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SCHOLAR ROCK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8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Scholar Rock Holding Corporation and its subsidiaries (collectively, the “Company”) is a global biopharmaceutical company dedicated to improving the lives of children and adults with spinal muscular atrophy (“SMA”) and additional rare, severe and debilitating neuromuscular diseases. As a leader in the biology of the transforming growth factor beta (“TGFβ”) superfamily, the Company’s novel understanding of the molecular mechanisms of growth factor activation enabled the development of a proprietary platform for the discovery and development of monoclonal antibodies that locally and selectively target the precursor, or latent, forms of growth factors. Based on the Company’s innovative, proprietary, and scalable technology platform, the Company is building a world-leading anti-myostatin pipeline.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lead product candidates include apitegromab, a subcutaneous formulation of apitegromab, and SRK-439.</w:t>
      </w:r>
    </w:p>
    <w:p>
      <w:pPr>
        <w:spacing w:after="0" w:line="22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Apitegromab is a novel, investigational, fully human monoclonal antibody that inhibits myostatin activation by selectively binding the pro- and latent forms of myostatin in skeletal muscle. Myostatin is a catabolic agent that functions as a negative regulator of muscle mass, therefore inhibition of myostatin results in increased muscle mass and strength. Apitegromab is in development for the treatment of people with SMA and for the treatment of people with facioscapulohumeral muscular dystrophy (“FSHD”).</w:t>
      </w:r>
    </w:p>
    <w:p>
      <w:pPr>
        <w:spacing w:after="0" w:line="183"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Positive data from the successful Phase 3 SAPPHIRE study evaluating apitegromab in children and adults with SMA was reported in October 2024. The Company submitted a U.S. Biologics License Application (“BLA”) to the U.S. Food and Drug Administration (“FDA”) in January 2025 and the BLA was granted priority review designation. In September 2025, the Company received a Complete Response Letter (“CRL”) from the FDA related to observations identified during an FDA inspection of a third-party fill-finish facility. The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the Company completed an in-person Type A meeting with the FDA that included participation of representatives from the third-party fill-finish facility. Also in November 2025, the third-party fill-finish facility received a Warning Letter from the FDA. The Company resubmitted the apitegromab BLA in March 2026 with two fill-finish facilities included, which was accepted by the Agency with a September 30, 2026 Prescription Drug User Fee Act (“PDUFA”) action date. In March 2025, the Company submitted to the European Medicines Agency (“EMA”) and received validation of its marketing authorisation application (“MAA”) for apitegromab for the treatment of SMA. If apitegromab is approved by the FDA or EMA, the Company expects to initiate a commercial product launch in the applicable jurisdictions upon approval.</w:t>
      </w:r>
    </w:p>
    <w:p>
      <w:pPr>
        <w:spacing w:after="0" w:line="19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continues to develop apitegromab in SMA with its ongoing long-term extension ONYX trial and its Phase 2 OPAL trial in SMA patients under two years of age, which was initiated in the third quarter of 2025. Additionally, a Phase 2 study evaluating apitegromab in patients with FSHD is expected to initiate in mid-2026.</w:t>
      </w:r>
    </w:p>
    <w:p>
      <w:pPr>
        <w:spacing w:after="0" w:line="13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addition to the current intravenous (“IV”) formulation, the Company is developing a subcutaneous (“SC”) formulation of apitegromab. A Phase 1 study in healthy volunteers has been completed and demonstrated that SC apitegromab has favorable bioavailability and a comparable pharmacodynamic profile relative to IV administered apitegromab. Further development activities are ongoing, including planned FDA and EMA regulatory engagements.</w:t>
      </w:r>
    </w:p>
    <w:p>
      <w:pPr>
        <w:spacing w:after="0" w:line="13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Company’s clinical-stage pipeline also includes SRK-439, a novel, investigational, subcutaneously administered fully human anti-pro/latent myostatin antibody that has high inhibitory potency while maintaining selectivity towards myostatin. SRK-439 is being developed for the treatment of patients with rare, severe, and debilitating neuromuscular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diseases. A Phase 1 study of SRK-439 in healthy volunteers is currently underway, with topline data anticipated in the second half of 2026.</w:t>
      </w:r>
    </w:p>
    <w:p>
      <w:pPr>
        <w:spacing w:after="0" w:line="16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the Company focuses its strategy on rare neuromuscular diseases, the Company is currently seeking partnerships for its additional programs. These programs include: SRK-181, a Phase 2-ready investigational inhibitor of latent TGFβ1 in development for the treatment of patients with solid tumors that are resistant to anti-PD-(L)1 antibody therapies; SRK-373, an investigational, highly selective inhibitor of the latent TGFβ1 isoform with selective activity in the fibrotic extracellular matrix, in preclinical development for the treatment of fibrotic diseases; and SRK-256, an investigational inhibitor of RGMc, or hemojuvelin, in preclinical development for the treatment of iron-restricted anemias. The Company is also seeking partners to further evaluate the potential for myostatin inhibition in combination with GLP-1 weight loss approaches following its positive Phase 2 EMBRAZE study, demonstrating proof-of-concept in the ability of apitegromab to drive statistically significant preservation of lean mass during tirzepatide-induced weight loss.</w:t>
      </w:r>
    </w:p>
    <w:p>
      <w:pPr>
        <w:spacing w:after="0" w:line="161"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Beyond these clinical-stage product candidates, the Company’s early-stage pipeline includes additional preclinical programs intended for the treatment of patients with rare, severe, and debilitating neuromuscular diseases. The Company was originally formed in May 2012. Its principal offices are in Cambridge, Massachusetts.</w:t>
      </w:r>
    </w:p>
    <w:p>
      <w:pPr>
        <w:spacing w:after="0" w:line="13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Since its inception, the Company’s operations have focused on research and development of monoclonal antibodies that selectively inhibit activation of growth factors for therapeutic effect, as well as establishing the Company’s intellectual property portfolio and performing research and development activities. The Company has primarily financed its operations through various equity financings, the exercise of stock options and warrants, as well as research and development collaboration agreements and the Company’s debt facility (Note 11).</w:t>
      </w:r>
    </w:p>
    <w:p>
      <w:pPr>
        <w:spacing w:after="0" w:line="14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Revenue generation activities have been limited to two collaborations, both containing research services and the issuance of a license. No revenues have been recorded from the sale of any commercial product.</w:t>
      </w:r>
    </w:p>
    <w:p>
      <w:pPr>
        <w:spacing w:after="0" w:line="13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successful discovery and development of its drug candidates, raising additional capital, development by its competitors of new technological innovations, protection of proprietary technology and regulatory approval and market acceptance of the Company’s product candidates. The Company anticipates that it will continue to incur significant operating losses for the next several years as it continues to develop and seek regulatory approval for its product candidates.</w:t>
      </w:r>
    </w:p>
    <w:p>
      <w:pPr>
        <w:spacing w:after="0" w:line="143"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The Company believes that its existing cash, cash equivalents and marketable securities as of March 31, 2026 will be sufficient to allow the Company to fund its current operations through at least a period of one year after the date these financial statements are issued.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unaudited condensed consolidated financial statements are described in the Company’s audited consolidated financial statements as of and for the year ended December 31, 2025, and the notes thereto, which are included in the Company’s Annual Report on Form 10-K. There have been no material changes to the significant accounting policies previously disclosed in the Company’s Annual Report on Form 10-K for the year ended December 31, 2025.</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02"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included herein have been prepared pursuant to the rules and regulations of the Securities and Exchange Commission (the “SEC”). The unaudited condensed consolidated financial statements include the accounts of Scholar Rock Holding Corporation and its wholly owned subsidiaries. All intercompany transactions and balances have been eliminated in consolidation. 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certain estimates or to identify matters that require additional disclosure. The results of operations for interim periods are not necessarily indicative of results to be expected for the full year or any other interim period.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accounting principles generally accepted in the U.S. (“GAAP”) requires management to make estimates and judgments that may affect the reported amounts of assets and liabilities and related disclosures of contingent assets and liabilities at the date of the financial statements and the related reporting of revenues and expenses during the reporting period. Management bases its estimates on historical experience and on various assumptions that are believed to be reasonable under the circumstances. Actual results could differ from those estimates.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per the balance sheet to the statement of cash flows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7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4320" w:type="dxa"/>
            <w:vAlign w:val="bottom"/>
          </w:tcPr>
          <w:p>
            <w:pPr>
              <w:spacing w:after="0"/>
              <w:rPr>
                <w:sz w:val="12"/>
                <w:szCs w:val="12"/>
                <w:color w:val="auto"/>
              </w:rPr>
            </w:pPr>
          </w:p>
        </w:tc>
        <w:tc>
          <w:tcPr>
            <w:tcW w:w="2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137,926</w:t>
            </w: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10"/>
        </w:trPr>
        <w:tc>
          <w:tcPr>
            <w:tcW w:w="43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140,333</w:t>
            </w:r>
          </w:p>
        </w:tc>
      </w:tr>
      <w:tr>
        <w:trPr>
          <w:trHeight w:val="20"/>
        </w:trPr>
        <w:tc>
          <w:tcPr>
            <w:tcW w:w="4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Company’s restricted cash is associated with a letter of credit related to its lease at 301 Binney Street in Cambridge, Massachusetts and a collateral account associated with a corporate credit card program.</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enhances the transparency of income tax disclosures to provide information to investors to better assess how a company’s operations and related tax risks, tax planning and operational opportunities affect its tax rate and prospects for future cash flows. This requires public entities to disclose additional categories in the rate reconciliation regarding federal and state income taxes and provide more details surrounding reconciling items if a quantitative threshold is met. The Company adopted ASU 2023-09 on January 1, 2025, which did not have a material impact on the financial statements and related disclosures.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No.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Clarifying the Effective Date</w:t>
      </w:r>
      <w:r>
        <w:rPr>
          <w:rFonts w:ascii="Times New Roman" w:cs="Times New Roman" w:eastAsia="Times New Roman" w:hAnsi="Times New Roman"/>
          <w:sz w:val="18"/>
          <w:szCs w:val="18"/>
          <w:color w:val="auto"/>
        </w:rPr>
        <w:t>. ASU 2024-03 requires additional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nature of expenses included in the income statement as well as disclosures about specific types of expenses included in the expense captions presented in the income statement. ASU 2024-03, as clarified by ASU 2025-01, is effective for public companies for annual periods beginning after December 15, 2026, and interim reporting periods beginning after December 15, 2027. Early adoption is permitted. The Company is still evaluating the impact on its disclosures in future years as a result of the adoption of ASU 2024-03.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assets and liabilities measured at fair value on a recurring basis at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18"/>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64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$ 356,518</w:t>
            </w: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$ 356,518</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gridSpan w:val="5"/>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treasury obligations and government agency securities</w:t>
            </w:r>
          </w:p>
        </w:tc>
        <w:tc>
          <w:tcPr>
            <w:tcW w:w="5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$ 446,931</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$ 446,931</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8"/>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64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$ 309,089</w:t>
            </w: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$ 309,089</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4"/>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300" w:type="dxa"/>
            <w:vAlign w:val="bottom"/>
            <w:gridSpan w:val="4"/>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 and government agency securities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$ 353,125</w:t>
            </w:r>
          </w:p>
        </w:tc>
        <w:tc>
          <w:tcPr>
            <w:tcW w:w="6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$ 353,125</w:t>
            </w:r>
          </w:p>
        </w:tc>
        <w:tc>
          <w:tcPr>
            <w:tcW w:w="6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Level 1 assets include investments in money market funds, U.S. treasury obligations and government agency securities that are valued using quoted market prices in active markets. There were no transfers of assets between fair value measurement levels during the three months ended March 31, 2026 or 2025.</w:t>
      </w:r>
    </w:p>
    <w:p>
      <w:pPr>
        <w:spacing w:after="0" w:line="135" w:lineRule="exact"/>
        <w:rPr>
          <w:sz w:val="20"/>
          <w:szCs w:val="20"/>
          <w:color w:val="auto"/>
        </w:rPr>
      </w:pPr>
    </w:p>
    <w:p>
      <w:pPr>
        <w:jc w:val="both"/>
        <w:ind w:left="60" w:right="219"/>
        <w:spacing w:after="0" w:line="312" w:lineRule="auto"/>
        <w:rPr>
          <w:sz w:val="20"/>
          <w:szCs w:val="20"/>
          <w:color w:val="auto"/>
        </w:rPr>
      </w:pPr>
      <w:r>
        <w:rPr>
          <w:rFonts w:ascii="Times New Roman" w:cs="Times New Roman" w:eastAsia="Times New Roman" w:hAnsi="Times New Roman"/>
          <w:sz w:val="17"/>
          <w:szCs w:val="17"/>
          <w:color w:val="auto"/>
        </w:rPr>
        <w:t>The carrying amounts reflected in the balance sheets for prepaid expenses and other current assets, accounts payable, and accrued expenses approximate their fair values at March 31, 2026 and December 31, 2025, due to their short-term nature.</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as of March 31, 2026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6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6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obligations and government agency securities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$ 49,375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$ 49,375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as of December 31, 2025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8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Cost</w:t>
            </w: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obligations and government agency securities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$ 43,940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$ 44,036</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$ 43,940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$ 44,036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 believes that U.S. treasury obligations and government agency securities are subject to minimal credit risk. As a result, the Company did not record any charges for credit-related impairments for its available-for-sale securities for the three months ended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0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prepaid expenses and other current assets consist of the following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ATM sale</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external research and development expenses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 and related withholding taxes receivable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compensation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professional services expense</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2026 and December 31, 2025, other long-term assets consist of the following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17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external research and development expenses</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related to undrawn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2026 and December 31, 2025, accrued expenses consist of the following (in thousands):</w:t>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11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 expense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44,349</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was amended to increase the number of authorized shares of common stock to 300,000,000 in June 2024.</w:t>
      </w:r>
    </w:p>
    <w:p>
      <w:pPr>
        <w:spacing w:after="0" w:line="13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 has had a sales agreement in place during various time periods with Jefferies LLC (“Jefferies”) with respect to an at-the-market (“ATM”) offering program. Under this program, the Company is able to offer and sell, from time to time at its sole discretion, shares of its common stock through Jefferies as its sales agent. In an ATM offering, exchange-listed companies incrementally sell newly issued shares into the secondary trading market through a designated broker-dealer at prevailing market prices. The current sales agreement with Jefferies, entered into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November 2022, allows for the sale of shares of common stock from time to time in “at the market” offerings through Jefferies as the Company’s sales agent. The Company sold 2,576,299 shares of its common stock under the ATM program during the three months ended March 31, 2026, generating net proceeds of $111.8 million. Of this amount, $13.8 million was received in April 2026 and was classified as a receivable and included in “Prepaid expenses and other current assets” in the consolidated balance sheets as of March 31, 2026.</w:t>
      </w:r>
    </w:p>
    <w:p>
      <w:pPr>
        <w:spacing w:after="0" w:line="15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issued pre-funded warrants to purchase common stock, as well as warrants to purchase common stock as part of its financing activities. Both the pre-funded warrants and warrants meet the conditions for equity classification and are recorded as a component of stockholders’ equity within additional paid-in capital. In October 2024, June 2022 and November 2020, the Company issued 353,983, 25,510,205 and 2,179,487 pre-funded warrants, respectively. During the three months ended March 31, 2026 and 2025, 6,804,082 and 0, respectively, of the Company’s pre-funded warrants were exercised. As of March 31, 2026, the Company has 10,558,065 pre-funded warrants outstanding. In June 2022, the Company also issued 10,459,181 warrants with an exercise price of $7.35, which expired on December 31, 2025. All of the common warrants outstanding associated with the June 2022 financing were exercised prior to their expiry. None of the Company’s common warrants were exercised during the three months ended March 31, 2026 and 2025.</w:t>
      </w:r>
    </w:p>
    <w:p>
      <w:pPr>
        <w:spacing w:after="0" w:line="18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October 2025, the Company issued 250,000 warrants with an exercise price of $28.59 for non-employee services. Warrants issued to non-employees in connection with providing services meet the conditions for equity classification and are recorded as a component of stockholders’ equity within additional paid in capital. There were no exercises of the warrants issued for non-employee services during the three months ended March 31,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the Company had common shares reserved for issuance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880" w:type="dxa"/>
            <w:vAlign w:val="bottom"/>
            <w:vMerge w:val="restart"/>
          </w:tcPr>
          <w:p>
            <w:pPr>
              <w:ind w:left="77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88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reserved for exercise of pre-funded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10,558,065</w:t>
            </w:r>
          </w:p>
        </w:tc>
        <w:tc>
          <w:tcPr>
            <w:tcW w:w="0" w:type="dxa"/>
            <w:vAlign w:val="bottom"/>
          </w:tcPr>
          <w:p>
            <w:pPr>
              <w:spacing w:after="0"/>
              <w:rPr>
                <w:sz w:val="1"/>
                <w:szCs w:val="1"/>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reserved for issuance upon exercise of outstanding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shares reserved for exercise of outstanding stock options, unvested RSUs and unvested PSUs</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the 2017 and 2018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8,547,545</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shares reserved for exercise of outstanding stock options, unvested RSUs and unvested PSUs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 the 2022 Inducement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4,346,140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reserved for future issuance under the 2018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6,625,274</w:t>
            </w:r>
          </w:p>
        </w:tc>
        <w:tc>
          <w:tcPr>
            <w:tcW w:w="0" w:type="dxa"/>
            <w:vAlign w:val="bottom"/>
          </w:tcPr>
          <w:p>
            <w:pPr>
              <w:spacing w:after="0"/>
              <w:rPr>
                <w:sz w:val="1"/>
                <w:szCs w:val="1"/>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reserved for future issuance under the 2022 Inducement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2,506,980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reserved for future issuance under the 2018 ESPP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2,903,919</w:t>
            </w:r>
          </w:p>
        </w:tc>
        <w:tc>
          <w:tcPr>
            <w:tcW w:w="0" w:type="dxa"/>
            <w:vAlign w:val="bottom"/>
          </w:tcPr>
          <w:p>
            <w:pPr>
              <w:spacing w:after="0"/>
              <w:rPr>
                <w:sz w:val="1"/>
                <w:szCs w:val="1"/>
                <w:color w:val="auto"/>
              </w:rPr>
            </w:pPr>
          </w:p>
        </w:tc>
      </w:tr>
      <w:tr>
        <w:trPr>
          <w:trHeight w:val="209"/>
        </w:trPr>
        <w:tc>
          <w:tcPr>
            <w:tcW w:w="78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35,737,923</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Equity-Based Compensation</w:t>
      </w:r>
    </w:p>
    <w:p>
      <w:pPr>
        <w:spacing w:after="0" w:line="18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Company recorded equity-based compensation expense related to all equity-based awards, which was allocated as follows in the condensed consolidated statements of operations and comprehensive loss for the three months ended March 31, 2026 and 2025 (in thousands):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80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2"/>
          </w:tcPr>
          <w:p>
            <w:pPr>
              <w:jc w:val="center"/>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entered into separation agreements with certain employees. Per the separation terms, certain stock option awards and RSUs were amended and may provide for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continued vesting, accelerated vesting, and extended time to exercise vested options. As a result, equity-based compensation expense during the three months ended March 31, 2026 and 2025 includes $0.1 million and $4.0 million, respectively, related to the modification of certain equity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unrecognized equity-based compensation expense as of March 31, 2026:</w:t>
      </w: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 Expense (in</w:t>
            </w:r>
          </w:p>
        </w:tc>
        <w:tc>
          <w:tcPr>
            <w:tcW w:w="140" w:type="dxa"/>
            <w:vAlign w:val="bottom"/>
          </w:tcPr>
          <w:p>
            <w:pPr>
              <w:spacing w:after="0"/>
              <w:rPr>
                <w:sz w:val="10"/>
                <w:szCs w:val="10"/>
                <w:color w:val="auto"/>
              </w:rPr>
            </w:pPr>
          </w:p>
        </w:tc>
        <w:tc>
          <w:tcPr>
            <w:tcW w:w="14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Period of</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5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 Recognition (years)</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204,485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current year: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Units ​​​Date Fair Value</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as of December 31, 2025</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3,283,939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1,271,936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(571,766)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(149,361)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as of March 31, 2026</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three months ended March 31, 2026 and 2025 was $26.3 million and $28.3 million,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PSU activity for the current year: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3360" w:type="dxa"/>
            <w:vAlign w:val="bottom"/>
            <w:gridSpan w:val="3"/>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 Number of Units</w:t>
            </w: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360" w:type="dxa"/>
            <w:vAlign w:val="bottom"/>
            <w:gridSpan w:val="3"/>
            <w:vMerge w:val="continue"/>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as of December 31, 2025</w:t>
            </w:r>
          </w:p>
        </w:tc>
        <w:tc>
          <w:tcPr>
            <w:tcW w:w="2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625,809</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as of March 31, 2026</w:t>
            </w:r>
          </w:p>
        </w:tc>
        <w:tc>
          <w:tcPr>
            <w:tcW w:w="2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1,450,809</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has granted various PSUs to certain employees. Depending on the terms of the PSUs and the outcome of the pre-established performance criteria, which may include a market condition, performance condition and/or time-based vesting, the recipient may ultimately earn the target number of PSUs granted or a specified multiple thereof at the end of the vesting period.</w:t>
      </w:r>
    </w:p>
    <w:p>
      <w:pPr>
        <w:spacing w:after="0" w:line="13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total fair value of PSUs vested during the three months ended March 31, 2026 was $12.0 million. No PSUs vested during the three months ended March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current year:</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7,845,460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(415,289)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7,608,128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204,948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132,592</w:t>
            </w:r>
          </w:p>
        </w:tc>
        <w:tc>
          <w:tcPr>
            <w:tcW w:w="0" w:type="dxa"/>
            <w:vAlign w:val="bottom"/>
          </w:tcPr>
          <w:p>
            <w:pPr>
              <w:spacing w:after="0" w:line="20" w:lineRule="exact"/>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4,001,549</w:t>
            </w:r>
          </w:p>
        </w:tc>
        <w:tc>
          <w:tcPr>
            <w:tcW w:w="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 average grant date fair value of options granted during the three months ended March 31, 2026 and 2025 was $39.53 and $30.02, respectively.</w:t>
      </w:r>
    </w:p>
    <w:p>
      <w:pPr>
        <w:spacing w:after="0" w:line="121"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The following weighted average assumptions were used in determining the fair value of options granted in the three months ended March 31, 2026 and 2025:</w:t>
      </w:r>
    </w:p>
    <w:p>
      <w:pPr>
        <w:spacing w:after="0" w:line="14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5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5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November 2019, the Company entered into a lease of office and laboratory space at 301 Binney Street in Cambridge, Massachusetts to be used as its new corporate headquarters (the “Lease”). The expiration date of the Lease was originally in August 2025 and included an option to extend the term by two years. The base rent under the original Lease was $6.9 million per year, subject to an annual increase of 3.5%. Variable lease payments include the Company’s allocated share of costs incurred and expenditures made by the landlord in the operation and management of the building. The Lease included incentives of $14.1 million in the form of an allowance for tenant improvements related to the design and build out of the space. In connection with the Lease, the Company has secured a letter of credit for $2.3 million which renews automatically each year.</w:t>
      </w:r>
    </w:p>
    <w:p>
      <w:pPr>
        <w:spacing w:after="0" w:line="192" w:lineRule="exact"/>
        <w:rPr>
          <w:sz w:val="20"/>
          <w:szCs w:val="20"/>
          <w:color w:val="auto"/>
        </w:rPr>
      </w:pPr>
    </w:p>
    <w:p>
      <w:pPr>
        <w:jc w:val="both"/>
        <w:ind w:left="60" w:right="239"/>
        <w:spacing w:after="0" w:line="281" w:lineRule="auto"/>
        <w:rPr>
          <w:sz w:val="20"/>
          <w:szCs w:val="20"/>
          <w:color w:val="auto"/>
        </w:rPr>
      </w:pPr>
      <w:r>
        <w:rPr>
          <w:rFonts w:ascii="Times New Roman" w:cs="Times New Roman" w:eastAsia="Times New Roman" w:hAnsi="Times New Roman"/>
          <w:sz w:val="17"/>
          <w:szCs w:val="17"/>
          <w:color w:val="auto"/>
        </w:rPr>
        <w:t>In May 2024, the Company entered into the First Amendment (the “Lease Amendment”) to the Lease to extend the term for approximately two years, commencing on August 19, 2025 (the “First Extension Term”) with the base rent to start at approximately $6.2 million per year, followed by a 3% annual increase. Pursuant to the Lease Amendment, the Company also has an option to extend the term of the Lease by five years, upon the expiration of the First Extension Term.</w:t>
      </w:r>
    </w:p>
    <w:p>
      <w:pPr>
        <w:spacing w:after="0" w:line="16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October 2025, the Company entered into a lease of office space in Zug, Switzerland (the “Switzerland Lease”). The Switzerland Lease commencement date was January 1, 2026, which is when the Company gained access to the space under the terms of the lease. The Switzerland Lease has an expiration date of December 31, 2029, with a minimum term of twelve months. The base rent under the Switzerland lease is CHF 276,000 per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leases are as follows (in thousands, except lease term and discount rate):</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w:t>
            </w:r>
          </w:p>
        </w:tc>
        <w:tc>
          <w:tcPr>
            <w:tcW w:w="3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0" w:type="dxa"/>
            <w:vAlign w:val="bottom"/>
          </w:tcPr>
          <w:p>
            <w:pPr>
              <w:spacing w:after="0"/>
              <w:rPr>
                <w:sz w:val="18"/>
                <w:szCs w:val="18"/>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its business. The Company was not subject to any material legal proceedings during the three months ended March 31, 2026 and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October 16, 2020, the Company entered into a Loan and Security Agreement with Oxford Finance LLC (“Oxford”) and Silicon Valley Bank (“SVB”) for $50.0 million (the “Loan and Security Agreement”), which was amended in 2022 to increase the Company’s borrowing capacity.</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10, 2025, the Company entered into an Amended and Restated Loan and Security Agreement with Oxford (such agreement, as amended, the “Existing Loan Agreement”). The Existing Loan Agreement consolidated the existing outstanding loan tranches solely with Oxford and amends and restates in its entirety that certain Loan and Security Agreement, as amended. In conjunction with the Existing Loan Agreement, the Company was required to pay $0.9 million, which included $0.5 million to SVB for the final payment on the outstanding tranche.</w:t>
      </w:r>
    </w:p>
    <w:p>
      <w:pPr>
        <w:spacing w:after="0" w:line="183"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On September 29, 2025, the Company received $50.0 million from the next available tranche under the Existing Loan Agreement, bringing the total borrowings to $100.0 million.</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27, 2026, the Company terminated the Existing Loan Agreement and entered into a Financing Agreement (the “Financing Agreement”) with certain funds managed by Blue Owl Capital Corporation (“Blue Owl”). Concurrently with the entry into the Financing Agreement, the Company also entered into a Pledge and Security Agreement (the “Security Agreement,” together with the Financing Agreement, the “2026 Loan Agreement”) with Blue Owl. The Financing Agreement contains customary representations, warranties and covenants. The Company is also required to maintain a minimum unrestricted cash balance of at least 60% of the aggregate outstanding principal amount, unless certain milestones are met and maintained.</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2026 Loan Agreement provides for up to $350.0 million (each, a “Term Loan” and together, the “Term Loans”), of which $100.0 million of the initial term loan (the “Initial Term Loan”) was received in February 2026. In addition, the Financing Agreement includes an uncommitted incremental term loan facility that requires the consent of Blue Owl in an aggregate principal amount not to exceed $200.0 million. Deferred financing costs related to undrawn debt are included in “Other long-term assets” in the consolidated balance sheets. The Company used the proceeds of the Initial Term Loan upon the closing under the 2026 Loan Agreement to repay all outstanding obligations, totaling $103.7 million, which included $2.0 million related to the final payment and $1.0 million related to the prepayment fee, under the Existing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Loan Agreement with Oxford and upon such repayment, terminated the Existing Loan Agreement. The amount repaid by the Company included $100.0 million of outstanding indebtedness plus accrued and unpaid interest as of February 27, 2026 and fees. The Company recognized a loss on extinguishment of debt of $3.3 million in connection with the termination of the Existing Loan Agreement. As a result of the termination, all credit commitments under the Existing Loan Agreement were terminated and all security interests and guarantees executed in connection with the Existing Loan Agreement were released.</w:t>
      </w:r>
    </w:p>
    <w:p>
      <w:pPr>
        <w:spacing w:after="0" w:line="187" w:lineRule="exact"/>
        <w:rPr>
          <w:sz w:val="20"/>
          <w:szCs w:val="20"/>
          <w:color w:val="auto"/>
        </w:rPr>
      </w:pPr>
    </w:p>
    <w:p>
      <w:pPr>
        <w:ind w:left="60" w:right="479"/>
        <w:spacing w:after="0" w:line="256" w:lineRule="auto"/>
        <w:rPr>
          <w:sz w:val="20"/>
          <w:szCs w:val="20"/>
          <w:color w:val="auto"/>
        </w:rPr>
      </w:pPr>
      <w:r>
        <w:rPr>
          <w:rFonts w:ascii="Times New Roman" w:cs="Times New Roman" w:eastAsia="Times New Roman" w:hAnsi="Times New Roman"/>
          <w:sz w:val="18"/>
          <w:szCs w:val="18"/>
          <w:color w:val="auto"/>
        </w:rPr>
        <w:t>On March 31, 2026, the Company received $100.0 million from the next available tranche under the 2026 Loan Agreement. To date, the Company has received $200.0 million of Term Loans. The additional delayed draw term loan commitment in an aggregate principal amount not to exceed $150.0 million will be available from the date of FDA approval for apitegromab in SMA until the date that is the earliest of the full usage thereof, termination thereof and September 30, 2027, which may be borrowed by the Company at its sole option upon satisfying certain customary conditions, including satisfaction of the minimum cash covenant (if applicable).</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outstanding principal of the Term Loan interest at a rate per annum on the basis of a 360 day year equal to (a) in the case of Term Loans bearing interest based on the base rate defined in the Financing Agreement, the sum of (i) the base rate (and which base rate will not be less than 2.00%) plus (ii) 4.00% and (B) in the case of Term Loans bearing interest based on the three-month forward-looking term secured overnight financing rate as published by CME Group Benchmark Administration Limited (the “Term SOFR”), the sum of (i) three-month Term SOFR (subject to 1.00% per annum floor), plus (ii) 5.00%. Accrued interest is payable quarterly, on any date of prepayment of the Term Loans and at maturity.</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maturity date of the Term Loan is the earlier of February 26, 2032 and the date the Term Loans shall otherwise become due and payable in full under the Financing Agreement. The Company may, at its option, prepay at any time the Term Loans on any Business Day in whole or in part. In certain instances and during certain time periods, these prepayments, together with certain mandatory prepayments and payments of the Term Loans resulting from the exercise of remedies under the Financing Agreement, will be subject to customary prepayment fees.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0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 average number of common shares outstanding. The weighted average number of common shares used in the basic and diluted net loss per share calculation includes the pre-funded warrants issued in connection with the Company’s November 2020, June 2022 and October 2024 follow-on offerings as the pre-funded warrants are exercisable at any time for nominal cash consideration. The Company has generated a net loss in all periods presented, so the basic and diluted net loss per share are the same, as the inclusion of the potentially dilutive securities would be anti-dilutive.</w:t>
      </w:r>
    </w:p>
    <w:p>
      <w:pPr>
        <w:spacing w:after="0" w:line="18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outstanding common stock equivalents, presented based on amounts outstanding at each period end, that have been excluded from the calculation of diluted net loss per share for the periods indicated because their inclusion would have been anti-dilutive:</w:t>
      </w:r>
    </w:p>
    <w:p>
      <w:pPr>
        <w:spacing w:after="0" w:line="14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300" w:type="dxa"/>
        <w:tblCellMar>
          <w:top w:w="0" w:type="dxa"/>
          <w:left w:w="0" w:type="dxa"/>
          <w:bottom w:w="0" w:type="dxa"/>
          <w:right w:w="0" w:type="dxa"/>
        </w:tblCellMar>
      </w:tblPr>
      <w:tr>
        <w:trPr>
          <w:trHeight w:val="142"/>
        </w:trPr>
        <w:tc>
          <w:tcPr>
            <w:tcW w:w="6380" w:type="dxa"/>
            <w:vAlign w:val="bottom"/>
            <w:gridSpan w:val="2"/>
          </w:tcPr>
          <w:p>
            <w:pPr>
              <w:ind w:left="6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3,834,748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3,701,687</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7,608,128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9,287,577</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8,678,664</w:t>
            </w:r>
          </w:p>
        </w:tc>
      </w:tr>
      <w:tr>
        <w:trPr>
          <w:trHeight w:val="210"/>
        </w:trPr>
        <w:tc>
          <w:tcPr>
            <w:tcW w:w="6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13,143,685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21,667,928</w:t>
            </w: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jc w:val="both"/>
        <w:ind w:left="60" w:right="599"/>
        <w:spacing w:after="0" w:line="289" w:lineRule="auto"/>
        <w:rPr>
          <w:sz w:val="20"/>
          <w:szCs w:val="20"/>
          <w:color w:val="auto"/>
        </w:rPr>
      </w:pPr>
      <w:r>
        <w:rPr>
          <w:rFonts w:ascii="Times New Roman" w:cs="Times New Roman" w:eastAsia="Times New Roman" w:hAnsi="Times New Roman"/>
          <w:sz w:val="17"/>
          <w:szCs w:val="17"/>
          <w:color w:val="auto"/>
        </w:rPr>
        <w:t>The Company operates and manages its business on a consolidated basis as a single reportable and single operating segment for the purposes of assessing performance and making operating decisions. The Company’s chief executive officer, who is the chief operating decision maker (“CODM”), reviews the Company’s financial information on a</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consolidated basis for purposes of evaluating financial performance and allocating resources. When evaluating the Company’s financial performance, the CODM regularly reviews net loss. The CODM considers net loss in making decisions on how to allocate resources. Net loss is used to monitor budget versus actual results in an effort to refine forecasts and control costs. The measure of segment assets is reported on the balance sheet as total consolidated assets. All of the Company’s long-lived assets are held in the United States.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significant expense information about the Company’s operating segment: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Employee related expense</w:t>
            </w:r>
            <w:r>
              <w:rPr>
                <w:rFonts w:ascii="Times New Roman" w:cs="Times New Roman" w:eastAsia="Times New Roman" w:hAnsi="Times New Roman"/>
                <w:sz w:val="25"/>
                <w:szCs w:val="25"/>
                <w:color w:val="auto"/>
                <w:vertAlign w:val="superscript"/>
              </w:rPr>
              <w:t>(1)</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37,526</w:t>
            </w:r>
          </w:p>
        </w:tc>
        <w:tc>
          <w:tcPr>
            <w:tcW w:w="260" w:type="dxa"/>
            <w:vAlign w:val="bottom"/>
          </w:tcPr>
          <w:p>
            <w:pPr>
              <w:spacing w:after="0"/>
              <w:rPr>
                <w:sz w:val="18"/>
                <w:szCs w:val="18"/>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External R&amp;D expense - Apitegromab</w:t>
            </w:r>
            <w:r>
              <w:rPr>
                <w:rFonts w:ascii="Times New Roman" w:cs="Times New Roman" w:eastAsia="Times New Roman" w:hAnsi="Times New Roman"/>
                <w:sz w:val="25"/>
                <w:szCs w:val="25"/>
                <w:color w:val="auto"/>
                <w:vertAlign w:val="superscript"/>
              </w:rPr>
              <w:t>(3)</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External R&amp;D expense - SRK-181</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External R&amp;D expense - SRK-439</w:t>
            </w:r>
            <w:r>
              <w:rPr>
                <w:rFonts w:ascii="Times New Roman" w:cs="Times New Roman" w:eastAsia="Times New Roman" w:hAnsi="Times New Roman"/>
                <w:sz w:val="25"/>
                <w:szCs w:val="25"/>
                <w:color w:val="auto"/>
                <w:vertAlign w:val="superscript"/>
              </w:rPr>
              <w:t>(3)</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External R&amp;D expense - Early research and other</w:t>
            </w:r>
            <w:r>
              <w:rPr>
                <w:rFonts w:ascii="Times New Roman" w:cs="Times New Roman" w:eastAsia="Times New Roman" w:hAnsi="Times New Roman"/>
                <w:sz w:val="25"/>
                <w:szCs w:val="25"/>
                <w:color w:val="auto"/>
                <w:vertAlign w:val="superscript"/>
              </w:rPr>
              <w:t>(3)</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External expense - G&amp;A</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non-operating expense/(income), net</w:t>
            </w:r>
            <w:r>
              <w:rPr>
                <w:rFonts w:ascii="Times New Roman" w:cs="Times New Roman" w:eastAsia="Times New Roman" w:hAnsi="Times New Roman"/>
                <w:sz w:val="25"/>
                <w:szCs w:val="25"/>
                <w:color w:val="auto"/>
                <w:vertAlign w:val="superscript"/>
              </w:rPr>
              <w:t>(3)</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105,510</w:t>
            </w: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equity-based compensation expense.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segment expenses related to supplies, corporate and facilities expenses.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period amounts have been recast to conform with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financial information and the notes thereto included in our Annual Report on Form 10-K for the year ended December 31, 2025.</w:t>
      </w:r>
    </w:p>
    <w:p>
      <w:pPr>
        <w:spacing w:after="0" w:line="13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42"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including those risks identified under Part II, Item 1A. Risk Factors.</w:t>
      </w:r>
    </w:p>
    <w:p>
      <w:pPr>
        <w:spacing w:after="0" w:line="13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We caution readers against placing undue reliance upon any such forward-looking statements,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We are a global biopharmaceutical company dedicated to improving the lives of children and adults with spinal muscular atrophy (“SMA”) and additional rare, severe and debilitating neuromuscular diseases. As a leader in the biology of transforming growth factor beta (“TGFβ”) superfamily, our novel understanding of the molecular mechanisms of growth factor activation enabled the development of a proprietary platform for the discovery and development of monoclonal antibodies that locally and selectively target the precursor, or latent, forms of growth factors. Based on our innovative, proprietary, and scalable technology platform, we are building a world-leading anti-myostatin pipeline.</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lead product candidates include apitegromab, a subcutaneous formulation of apitegromab, and SRK-439.</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Apitegromab is a novel, investigational, fully human monoclonal antibody that inhibits myostatin activation by selectively binding the pro- and latent forms of myostatin in skeletal muscle. Myostatin is a catabolic agent that functions as a negative regulator of muscle mass, therefore inhibition of myostatin results in increased muscle mass and strength. Apitegromab is in development for the treatment of people with SMA and for the treatment of people with facioscapulohumeral muscular dystrophy (“FSHD”).</w:t>
      </w:r>
    </w:p>
    <w:p>
      <w:pPr>
        <w:spacing w:after="0" w:line="143"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In October 2024, we announced positive top-line results in SAPPHIRE, a pivotal Phase 3 clinical trial to evaluate the efficacy and safety of apitegromab in patients with non-ambulatory Type 2 and Type 3 SMA (which is estimated to represent the majority of the current prevalent SMA patient population in the U.S. and Europe). The study achieved its primary endpoint. At the March 2025 Muscular Dystrophy Association Clinical &amp; Scientific Conference, we presented additional data from secondary endpoint analyses in which apitegromab demonstrated a clinically meaningful and consistent benefit in motor function across pre-specified patient subgroups. We submitted a BLA to the FDA in January 2025 and the BLA was granted priority review designation. Priority review designation conveys that the FDA has determined that if apitegromab is approved, it could offer significant improvement in the safety or effectiveness of treatment of the serious condition of SMA. In September 2025, we received a CRL from the FDA related to observations identified during an FDA site inspection of a third-party fill-finish facility. The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we completed an in-person Type A meeting with the FDA that included participation of representatives from the third-party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fill-finish facility. Also in November 2025, the third-party fill-finish facility received a Warning Letter from the FDA. We resubmitted the apitegromab BLA in March 2026 with two third-party fill-finish facilities included, which was accepted by the Agency with a September 30, 2026 Prescription Drug User Fee Act (“PDUFA”) action date. In March 2025 we submitted to the European Medicines Agency (“EMA”) and received validation of our marketing authorisation application (“MAA”) for apitegromab for the treatment of SMA. If apitegromab is approved by the FDA and/or the EC, we expect to initiate a commercial product launch in the applicable jurisdictions upon approval.</w:t>
      </w:r>
    </w:p>
    <w:p>
      <w:pPr>
        <w:spacing w:after="0" w:line="228"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A Phase 2 study evaluating apitegromab in patients with FSHD is expected to initiate in mid-2026. We see potential for apitegromab broadly in additional rare, severe, and debilitating neuromuscular diseases where muscle atrophy is a key component of disease pathogenesis, and we are actively exploring indications beyond SMA and FSHD.</w:t>
      </w:r>
    </w:p>
    <w:p>
      <w:pPr>
        <w:spacing w:after="0" w:line="216"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In addition to the current intravenous (“IV”) formulation, we are developing a subcutaneous (“SC”) formulation of apitegromab. A Phase 1 study in healthy volunteers has been completed and demonstrated that SC apitegromab has favorable bioavailability and a comparable pharmacodynamic profile relative to IV apitegromab. Further development activities are ongoing, including planned FDA and EMA regulatory engagements.</w:t>
      </w:r>
    </w:p>
    <w:p>
      <w:pPr>
        <w:spacing w:after="0" w:line="20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Our clinical-stage pipeline also includes SRK-439, a novel, investigational, subcutaneously administered fully human anti-pro/latent myostatin antibody that has high inhibitory potency while maintaining selectivity towards myostatin. SRK-439 is being developed for the treatment of patients with rare, severe, and debilitating neuromuscular diseases. A Phase 1 study of SRK-439 in healthy volunteers is currently underway, with topline data anticipated in the second half of 2026.</w:t>
      </w:r>
    </w:p>
    <w:p>
      <w:pPr>
        <w:spacing w:after="0" w:line="220"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Beyond these clinical-stage product candidates, our early-stage pipeline includes additional preclinical programs intended for the treatment of patients with rare, severe, and debilitating neuromuscular diseases.</w:t>
      </w:r>
    </w:p>
    <w:p>
      <w:pPr>
        <w:spacing w:after="0" w:line="20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we focus our strategy on rare neuromuscular diseases, we are currently seeking partnerships for our additional programs. These programs include: SRK-181, a Phase 2-ready investigational inhibitor of latent TGFβ1 in development for the treatment of patients with solid tumors that are resistant to anti-PD-(L)1 antibody therapies; SRK-373, an investigational, highly selective inhibitor of the latent TGFβ1 isoform with selective activity in the fibrotic extracellular matrix, in preclinical development for the treatment of fibrotic diseases; and SRK-256, an investigational inhibitor of RGMc, or hemojuvelin, in preclinical development for the treatment of iron-restricted anemias. We are also seeking partners to further evaluate the potential for myostatin inhibition in combination with GLP-1 weight loss approaches following our positive Phase 2 EMBRAZE study, demonstrating proof-of-concept in the ability of apitegromab to drive statistically significant preservation of lean mass during tirzepatide-induced weight loss.</w:t>
      </w:r>
    </w:p>
    <w:p>
      <w:pPr>
        <w:spacing w:after="0" w:line="215" w:lineRule="exact"/>
        <w:rPr>
          <w:sz w:val="20"/>
          <w:szCs w:val="20"/>
          <w:color w:val="auto"/>
        </w:rPr>
      </w:pPr>
    </w:p>
    <w:p>
      <w:pPr>
        <w:ind w:left="60" w:right="639"/>
        <w:spacing w:after="0" w:line="312" w:lineRule="auto"/>
        <w:rPr>
          <w:sz w:val="20"/>
          <w:szCs w:val="20"/>
          <w:color w:val="auto"/>
        </w:rPr>
      </w:pPr>
      <w:r>
        <w:rPr>
          <w:rFonts w:ascii="Times New Roman" w:cs="Times New Roman" w:eastAsia="Times New Roman" w:hAnsi="Times New Roman"/>
          <w:sz w:val="17"/>
          <w:szCs w:val="17"/>
          <w:color w:val="auto"/>
        </w:rPr>
        <w:t>Using our innovative approach and proprietary platform, we are creating a pipeline of novel product candidates that selectively modulate growth factor activation implicated in rare, severe, and devastating neuromuscular diseases.</w:t>
      </w:r>
    </w:p>
    <w:p>
      <w:pPr>
        <w:spacing w:after="0" w:line="140" w:lineRule="exact"/>
        <w:rPr>
          <w:sz w:val="20"/>
          <w:szCs w:val="20"/>
          <w:color w:val="auto"/>
        </w:rPr>
      </w:pPr>
    </w:p>
    <w:p>
      <w:pPr>
        <w:jc w:val="both"/>
        <w:ind w:left="60" w:right="459"/>
        <w:spacing w:after="0" w:line="289" w:lineRule="auto"/>
        <w:rPr>
          <w:sz w:val="20"/>
          <w:szCs w:val="20"/>
          <w:color w:val="auto"/>
        </w:rPr>
      </w:pPr>
      <w:r>
        <w:rPr>
          <w:rFonts w:ascii="Times New Roman" w:cs="Times New Roman" w:eastAsia="Times New Roman" w:hAnsi="Times New Roman"/>
          <w:sz w:val="17"/>
          <w:szCs w:val="17"/>
          <w:color w:val="auto"/>
        </w:rPr>
        <w:t>We have incurred significant operating losses since inception. Our net losses were $105.5 million for the three months ended March 31, 2026. As of March 31, 2026, we had an accumulated deficit of $1.4 billion. We expect to continue to incur significant expenses and operating losses for the foreseeable future in performing our ongoing activities, as we:</w:t>
      </w:r>
    </w:p>
    <w:p>
      <w:pPr>
        <w:spacing w:after="0" w:line="131"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commercialization capabilities to support product sales, marketing and distribution activities;</w:t>
      </w:r>
    </w:p>
    <w:p>
      <w:pPr>
        <w:spacing w:after="0" w:line="63" w:lineRule="exact"/>
        <w:rPr>
          <w:rFonts w:ascii="Times New Roman" w:cs="Times New Roman" w:eastAsia="Times New Roman" w:hAnsi="Times New Roman"/>
          <w:sz w:val="18"/>
          <w:szCs w:val="18"/>
          <w:color w:val="auto"/>
        </w:rPr>
      </w:pPr>
    </w:p>
    <w:p>
      <w:pPr>
        <w:ind w:left="720" w:right="29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activities for apitegromab in SMA, including the ONYX study, our Phase 2 OPAL study for SMA patients under two years of age and the associated drug supply;</w:t>
      </w:r>
    </w:p>
    <w:p>
      <w:pPr>
        <w:spacing w:after="0" w:line="1" w:lineRule="exact"/>
        <w:rPr>
          <w:rFonts w:ascii="Times New Roman" w:cs="Times New Roman" w:eastAsia="Times New Roman" w:hAnsi="Times New Roman"/>
          <w:sz w:val="18"/>
          <w:szCs w:val="18"/>
          <w:color w:val="auto"/>
        </w:rPr>
      </w:pPr>
    </w:p>
    <w:p>
      <w:pPr>
        <w:ind w:left="720" w:right="43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and continue development activities for apitegromab in other neuromuscular disorders, including our planned Phase 2 FORGE clinical trial for apitegromab in FSHD;</w:t>
      </w:r>
    </w:p>
    <w:p>
      <w:pPr>
        <w:spacing w:after="0" w:line="1" w:lineRule="exact"/>
        <w:rPr>
          <w:rFonts w:ascii="Times New Roman" w:cs="Times New Roman" w:eastAsia="Times New Roman" w:hAnsi="Times New Roman"/>
          <w:sz w:val="18"/>
          <w:szCs w:val="18"/>
          <w:color w:val="auto"/>
        </w:rPr>
      </w:pPr>
    </w:p>
    <w:p>
      <w:pPr>
        <w:ind w:left="720" w:right="21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activities for our anti-myostatin program, including our Phase 1 clinical trial for SRK-439;</w:t>
      </w:r>
    </w:p>
    <w:p>
      <w:pPr>
        <w:spacing w:after="0" w:line="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product candidates through the use of our proprietary platform;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development, commercial and other business personnel; and</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the global infrastructure to support our operations as a global public company.</w:t>
      </w:r>
    </w:p>
    <w:p>
      <w:pPr>
        <w:spacing w:after="0" w:line="27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If we successfully obtain regulatory approval for apitegromab we may generate revenue in the future from product sales. In addition, if we obtain regulatory approval for apitegromab we have and expect to incur significant expenses related to developing our commercialization capabilities to support product sales, marketing and distribution activities.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development activities, including our product candidate discovery efforts, preclinical studies, manufacturing, and clinical trials under our research programs, which include:</w:t>
      </w:r>
    </w:p>
    <w:p>
      <w:pPr>
        <w:spacing w:after="0" w:line="135" w:lineRule="exact"/>
        <w:rPr>
          <w:sz w:val="20"/>
          <w:szCs w:val="20"/>
          <w:color w:val="auto"/>
        </w:rPr>
      </w:pPr>
    </w:p>
    <w:p>
      <w:pPr>
        <w:ind w:left="720" w:right="219" w:hanging="319"/>
        <w:spacing w:after="0" w:line="28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equity-based compensation expense for our research and development personnel;</w:t>
      </w:r>
    </w:p>
    <w:p>
      <w:pPr>
        <w:spacing w:after="0" w:line="1" w:lineRule="exact"/>
        <w:rPr>
          <w:rFonts w:ascii="Times New Roman" w:cs="Times New Roman" w:eastAsia="Times New Roman" w:hAnsi="Times New Roman"/>
          <w:sz w:val="18"/>
          <w:szCs w:val="18"/>
          <w:color w:val="auto"/>
        </w:rPr>
      </w:pPr>
    </w:p>
    <w:p>
      <w:pPr>
        <w:ind w:left="720" w:right="439" w:hanging="319"/>
        <w:spacing w:after="0" w:line="28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and preclinical activities on our behalf;</w:t>
      </w:r>
    </w:p>
    <w:p>
      <w:pPr>
        <w:spacing w:after="0" w:line="1" w:lineRule="exact"/>
        <w:rPr>
          <w:rFonts w:ascii="Times New Roman" w:cs="Times New Roman" w:eastAsia="Times New Roman" w:hAnsi="Times New Roman"/>
          <w:sz w:val="18"/>
          <w:szCs w:val="18"/>
          <w:color w:val="auto"/>
        </w:rPr>
      </w:pPr>
    </w:p>
    <w:p>
      <w:pPr>
        <w:ind w:left="720" w:right="379" w:hanging="319"/>
        <w:spacing w:after="0" w:line="28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(“CROs”), that conduct our clinical trials;</w:t>
      </w:r>
    </w:p>
    <w:p>
      <w:pPr>
        <w:spacing w:after="0" w:line="1" w:lineRule="exact"/>
        <w:rPr>
          <w:rFonts w:ascii="Times New Roman" w:cs="Times New Roman" w:eastAsia="Times New Roman" w:hAnsi="Times New Roman"/>
          <w:sz w:val="18"/>
          <w:szCs w:val="18"/>
          <w:color w:val="auto"/>
        </w:rPr>
      </w:pPr>
    </w:p>
    <w:p>
      <w:pPr>
        <w:ind w:left="720" w:right="319" w:hanging="319"/>
        <w:spacing w:after="0" w:line="28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 development, manufacturing of clinical supplies, commercial drug supply prior to FDA approval and technology transfer expenses;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w:t>
      </w:r>
    </w:p>
    <w:p>
      <w:pPr>
        <w:spacing w:after="0" w:line="63" w:lineRule="exact"/>
        <w:rPr>
          <w:rFonts w:ascii="Times New Roman" w:cs="Times New Roman" w:eastAsia="Times New Roman" w:hAnsi="Times New Roman"/>
          <w:sz w:val="18"/>
          <w:szCs w:val="18"/>
          <w:color w:val="auto"/>
        </w:rPr>
      </w:pPr>
    </w:p>
    <w:p>
      <w:pPr>
        <w:ind w:left="720" w:right="159" w:hanging="319"/>
        <w:spacing w:after="0" w:line="28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laboratory supplies and non-capital equipment used in our internal research and development activities;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63"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and other allocated expenses, which include expenses for rent and maintenance of facilities, insurance, depreciation and other supplies.</w:t>
      </w:r>
    </w:p>
    <w:p>
      <w:pPr>
        <w:spacing w:after="0" w:line="20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research and development goods and services to be received in the future from third parties are deferred and capitalized. The capitalized amounts are expensed as the related services are performed.</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 program-by-program basis after a clinical product candidate has been identified. However, we do not allocate our internal research and development expenses, consisting primarily of employee-related costs, depreciation and other indirect costs, on a program-by-program basis as they are deployed across multiple projects.</w:t>
      </w:r>
    </w:p>
    <w:p>
      <w:pPr>
        <w:spacing w:after="0" w:line="15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well as the associated clinical trial material requirements. We expect research and development costs for our product candidates to continue to be substantial for the foreseeable future as the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development. Additionally, future commercial and regulatory factors beyond our control will impact our clinical development programs and plans.</w:t>
      </w:r>
    </w:p>
    <w:p>
      <w:pPr>
        <w:spacing w:after="0" w:line="13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successful development of apitegromab, SRK-181, SRK-439, SRK-373, SRK-256 and any future product candidates is uncertain. Accordingly, at this time, we cannot reasonably estimate or know the nature, timing and estimated costs of the efforts that will be necessary to complete the remainder of the development of apitegromab, SRK-181, SRK-439, SRK-373, SRK-256 and any future product candidates. We are also unable to predict when, if ever, material net cash inflows will commence from the sale of our product candidates, if approved. This is due to the numerous risks and uncertainties associated with developing product candidates, including the uncertainty of:</w:t>
      </w:r>
    </w:p>
    <w:p>
      <w:pPr>
        <w:spacing w:after="0" w:line="147" w:lineRule="exact"/>
        <w:rPr>
          <w:sz w:val="20"/>
          <w:szCs w:val="20"/>
          <w:color w:val="auto"/>
        </w:rPr>
      </w:pPr>
    </w:p>
    <w:p>
      <w:pPr>
        <w:ind w:left="720" w:right="159" w:hanging="319"/>
        <w:spacing w:after="0" w:line="28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if any, from applicable regulatory authorities;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63" w:lineRule="exact"/>
        <w:rPr>
          <w:rFonts w:ascii="Times New Roman" w:cs="Times New Roman" w:eastAsia="Times New Roman" w:hAnsi="Times New Roman"/>
          <w:sz w:val="18"/>
          <w:szCs w:val="18"/>
          <w:color w:val="auto"/>
        </w:rPr>
      </w:pPr>
    </w:p>
    <w:p>
      <w:pPr>
        <w:ind w:left="720" w:right="919" w:hanging="319"/>
        <w:spacing w:after="0" w:line="28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products following any regulatory approval.</w:t>
      </w:r>
    </w:p>
    <w:p>
      <w:pPr>
        <w:spacing w:after="0" w:line="6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Any of these variables, or other factors, with respect to the development of apitegromab, SRK-181, SRK-439, SRK-373, SRK-256 or any of our future product candidates could significantly change the costs and timing associated with the development of that product candidate.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benefits and equity-based compensation expenses for personnel in executive, finance, business development, investor relations, legal, information technology, human resources and commercial functions. Other significant general and administrative expenses include facility costs not otherwise included in research and development expenses, legal fees relating to patent and corporate matters and fees for accounting, consulting services, professional services and corporate expenses. We expect general and administrative expense to continue to be substantial as we continue to invest in building the infrastructure to support the commercialization of apitegromab.</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earned on our cash, cash equivalents and marketable securities, partially offset by interest expense incurred on our debt facility, including amortization of debt discount and debt issuance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89"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 except percentages):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1600" w:type="dxa"/>
            <w:vAlign w:val="bottom"/>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4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(247.6)%</w:t>
            </w:r>
          </w:p>
        </w:tc>
      </w:tr>
      <w:tr>
        <w:trPr>
          <w:trHeight w:val="209"/>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$51.8 million and $48.7 million for the three months ended March 31, 2026 and 2025, respectively, an increase of $3.1 million or 6.4%. The following table summarizes our research and development expense for the three months ended March 31, 2026 and 2025 (in thousands, except percentages):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110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 by program</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Apitegromab</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SRK-181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SRK-439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early programs and unallocated costs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external costs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Facility and other</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internal costs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research and development expense was primarily attributable to the following:</w:t>
      </w:r>
    </w:p>
    <w:p>
      <w:pPr>
        <w:spacing w:after="0" w:line="198"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external research and development costs of $2.9 million, which primarily consisted of:</w:t>
      </w:r>
    </w:p>
    <w:p>
      <w:pPr>
        <w:spacing w:after="0" w:line="26" w:lineRule="exact"/>
        <w:rPr>
          <w:sz w:val="20"/>
          <w:szCs w:val="20"/>
          <w:color w:val="auto"/>
        </w:rPr>
      </w:pPr>
    </w:p>
    <w:p>
      <w:pPr>
        <w:ind w:left="1380" w:right="179" w:hanging="331"/>
        <w:spacing w:after="0" w:line="259" w:lineRule="auto"/>
        <w:tabs>
          <w:tab w:leader="none" w:pos="1380" w:val="left"/>
        </w:tabs>
        <w:numPr>
          <w:ilvl w:val="1"/>
          <w:numId w:val="11"/>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$1.0 million increase in costs associated with apitegromab primarily due to an increase in drug supply manufacturing and the initiation of our Phase 2 OPAL trial in SMA patients under two years of age, partially offset by a decrease in clinical trial costs as our Phase 3 SAPPHIRE clinical trial is completed;</w:t>
      </w:r>
    </w:p>
    <w:p>
      <w:pPr>
        <w:spacing w:after="0" w:line="1" w:lineRule="exact"/>
        <w:rPr>
          <w:rFonts w:ascii="Courier New" w:cs="Courier New" w:eastAsia="Courier New" w:hAnsi="Courier New"/>
          <w:sz w:val="17"/>
          <w:szCs w:val="17"/>
          <w:color w:val="auto"/>
        </w:rPr>
      </w:pPr>
    </w:p>
    <w:p>
      <w:pPr>
        <w:ind w:left="1380" w:right="359" w:hanging="331"/>
        <w:spacing w:after="0" w:line="241" w:lineRule="auto"/>
        <w:tabs>
          <w:tab w:leader="none" w:pos="1380" w:val="left"/>
        </w:tabs>
        <w:numPr>
          <w:ilvl w:val="1"/>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$1.1 million decrease in costs associated with SRK-181, as our Phase 1 DRAGON trial is completed; and</w:t>
      </w:r>
    </w:p>
    <w:p>
      <w:pPr>
        <w:spacing w:after="0" w:line="1" w:lineRule="exact"/>
        <w:rPr>
          <w:rFonts w:ascii="Courier New" w:cs="Courier New" w:eastAsia="Courier New" w:hAnsi="Courier New"/>
          <w:sz w:val="18"/>
          <w:szCs w:val="18"/>
          <w:color w:val="auto"/>
        </w:rPr>
      </w:pPr>
    </w:p>
    <w:p>
      <w:pPr>
        <w:ind w:left="1380" w:hanging="331"/>
        <w:spacing w:after="0" w:line="233" w:lineRule="auto"/>
        <w:tabs>
          <w:tab w:leader="none" w:pos="1380" w:val="left"/>
        </w:tabs>
        <w:numPr>
          <w:ilvl w:val="1"/>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$2.5 million decrease in preclinical costs and manufacturing development for SRK-439.</w:t>
      </w:r>
    </w:p>
    <w:p>
      <w:pPr>
        <w:spacing w:after="0" w:line="198" w:lineRule="exact"/>
        <w:rPr>
          <w:rFonts w:ascii="Courier New" w:cs="Courier New" w:eastAsia="Courier New" w:hAnsi="Courier New"/>
          <w:sz w:val="18"/>
          <w:szCs w:val="18"/>
          <w:color w:val="auto"/>
        </w:rPr>
      </w:pPr>
    </w:p>
    <w:p>
      <w:pPr>
        <w:ind w:left="720" w:right="15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million increase in internal research and development costs, which was primarily driven by an increase of $2.3 million in employee related costs, including salaries, bonus, benefits and payroll taxes, an increase of $2.5 million in non-cash equity-based compensation expense related to increased headcount and severance related costs of $0.8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Total research and development expenses are expected to continue to be substantial, driven by employee compensation costs and development costs associated with our manufacture of drug supply, as well as development of our clinical stage programs as we continue development activities for apitegromab in SMA, the conduct of ONYX, the conduct of our Phase 2 OPAL trial in SMA patients under the age of two, the conduct of our planned Phase 2 FORGE trial in FSHD patients, as well as costs associated with supporting our anti-myostatin program, including SRK-439. Additionally, we will continue to invest in our pipeline. We expect costs of our SRK-181 program to continue to decrease, as we completed the Phase 1 DRAGON clinical trial in June 2025.</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8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was $50.2 million and $28.4 million for the three months ended March 31, 2026 and 2025, respectively, an increase of $21.8 million or 76.7%. The total increase was primarily driven by investments in infrastructure to support launch readiness for apitegromab, including an increase of approximately $11.5 million in employee-related costs including salaries, bonus, benefits and payroll taxes related to increased headcount, an increase of $2.3 million in non-cash equity-based compensation expense related to increased headcount, an increase of approximately $7.2 million in professional service fees and an increase of approximately $0.8 million in facility and other costs. The increase in headcount is partially associated with the hiring of our commercial and field-facing teams. We expect general and administrative expenses to continue to be substantial as we continue to invest in building the infrastructure to support the commercialization of apitegromab.</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change in other income (expense), net was primarily attributable to our loss on extinguishment of debt, partially offset by an increase in interest income earned due to higher average balances in our cash, cash equivalents and marketable securities.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product revenue and have incurred significant operating losses and negative cash flows from our operations. We have funded our operations to date primarily with proceeds from the sale of our convertible preferred stock and units in private placements before our initial public offering (“IPO”), and issuance of our common stock through our IPO in 2018, to Gilead in an exempt private placement, through multiple secondary public offerings and through “at-the-market offerings” (“ATM”) sales, as well as payments from our research collaborations and the 2026 Loan Agreement (as defined below) entered into in February 2026 (see Note 11).</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total cash, cash equivalents and marketable securities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December 31, 2025 (in thousands):</w:t>
      </w:r>
    </w:p>
    <w:tbl>
      <w:tblPr>
        <w:tblLayout w:type="fixed"/>
        <w:tblInd w:w="60" w:type="dxa"/>
        <w:tblCellMar>
          <w:top w:w="0" w:type="dxa"/>
          <w:left w:w="0" w:type="dxa"/>
          <w:bottom w:w="0" w:type="dxa"/>
          <w:right w:w="0" w:type="dxa"/>
        </w:tblCellMar>
      </w:tblPr>
      <w:tr>
        <w:trPr>
          <w:trHeight w:val="146"/>
        </w:trPr>
        <w:tc>
          <w:tcPr>
            <w:tcW w:w="6860" w:type="dxa"/>
            <w:vAlign w:val="bottom"/>
          </w:tcPr>
          <w:p>
            <w:pPr>
              <w:ind w:left="674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20" w:type="dxa"/>
            <w:vAlign w:val="bottom"/>
          </w:tcPr>
          <w:p>
            <w:pPr>
              <w:jc w:val="right"/>
              <w:ind w:right="97"/>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6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323,527</w:t>
            </w: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44,036</w:t>
            </w:r>
          </w:p>
        </w:tc>
      </w:tr>
      <w:tr>
        <w:trPr>
          <w:trHeight w:val="210"/>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479,944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367,563</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our cash, cash equivalents and marketable securities balance increased by $112.4 million. The change was primarily due to proceeds from our debt facility, sales under our ATM program and the exercises of stock options, partially offset by cash used to operate our business, including payments related to, among other things, research and development and general and administrative expenses as we continued to invest in our product candidates and supported our internal research and development efforts and made interest payments on our debt.</w:t>
      </w:r>
    </w:p>
    <w:p>
      <w:pPr>
        <w:spacing w:after="0" w:line="183"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Our current sales agreement with Jefferies, entered into in November 2022, allows for the sale of shares of our common stock from time to time in ATM offerings through Jefferies as the Company’s sales agent. During the three months ended March 31, 2026, we sold 2,576,299 shares of our common stock under the ATM program, generating net proceeds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of $111.8 million. Of this amount, $13.8 million was received in April 2026 and was classified as a receivable and included in “Prepaid expenses and other current assets” in our consolidated balance sheets as of March 31, 2026.</w:t>
      </w:r>
    </w:p>
    <w:p>
      <w:pPr>
        <w:spacing w:after="0" w:line="162"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In February 2025, we entered into an Amended and Restated Loan and Security Agreement with Oxford Finance LLC (“Oxford”) and Silicon Valley Bank (“SVB”) (such agreement, as amended, the “Existing Loan Agreement”) for up to $200 million of which $25.0 million from Tranche 1 was received in October 2020, $25.0 million from Tranche 2 was received in December 2021 and $50.0 million from Tranche 3 was received in September 2025, bringing the total outstanding balance under the Term Loans to $100.0 million. This debt facility was paid off in February 2026 (see Note 11).</w:t>
      </w:r>
    </w:p>
    <w:p>
      <w:pPr>
        <w:spacing w:after="0" w:line="187"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7"/>
          <w:szCs w:val="17"/>
          <w:color w:val="auto"/>
        </w:rPr>
        <w:t>In February 2026, we entered into a Financing Agreement (the “Financing Agreement”) and a Pledge and Security Agreement (the “Security Agreement,” together with the Financing Agreement, the “2026 Loan Agreement”) with certain funds managed by Blue Owl Capital Corporation (“Blue Owl”) for up to $350.0 million, of which $100.0 million of the initial term loan (the “Initial Term Loan”) was received in February 2026. In addition, the Financing Agreement includes an uncommitted incremental term loan facility that requires the consent of Blue Owl in an aggregate principal amount not to exceed $200.0 million. We used the proceeds of the Initial Term Loan upon the closing under the 2026 Loan Agreement to repay all outstanding obligations, totaling $103.7 million, under the Existing Loan Agreement with Oxford and upon such repayment, terminated the Existing Loan Agreement. The amount repaid by the Company included $100.0 million of outstanding indebtedness plus accrued and unpaid interest as of February 27, 2026 and fees. We recognized a loss on extinguishment of debt of $3.3 million in connection with the termination of the Existing Loan Agreement. As a result of the termination, all credit commitments under the Existing Loan Agreement were terminated and all security interests and guarantees executed in connection with the Existing Loan Agreement were released. On March 31, 2026, the Company received $100.0 million from the next available tranche under the 2026 Loan Agreement, bringing the outstanding balance to $200.0 million (see Note 11).</w:t>
      </w:r>
    </w:p>
    <w:p>
      <w:pPr>
        <w:spacing w:after="0" w:line="184"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6,804,082 of the Company’s pre-funded warrants were exercised. As of March 31, 2026, the Company had 10,558,065 pre-funded warrants outstanding.</w:t>
      </w:r>
    </w:p>
    <w:p>
      <w:pPr>
        <w:spacing w:after="0" w:line="162"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common warrants were exercised. As of March 31, 2026, the Company had 250,000 common warrants outstanding.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 (in thousands):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9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(82,101)</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21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20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18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$82.1 million for the three months ended March 31, 2026, and consisted of our net loss of $105.5 million, partially offset by changes in our assets and liabilities of $0.1 million and non-cash adjustments of $23.3 million. The non-cash adjustments are primarily from equity-based compensation.</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$78.7 million for the three months ended March 31, 2025, and consisted of our net loss of $74.7 million and changes in our assets and liabilities of $17.6 million, partially offset by non-cash adjustments of $13.6 million. The non-cash adjustments are primarily from equity-based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p>
      <w:pPr>
        <w:spacing w:after="0" w:line="202"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was $5.3 million for the three months ended March 31, 2026 compared to net cash provided by investing activities of $34.6 million for the three months ended March 31, 2025. Net cash provided by and used in investing activities for both periods was primarily associated with transactions involving our marketable securities.</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$193.8 million for the three months ended March 31, 2026 compared to $4.2 million for the three months ended March 31, 2025. Net cash provided by financing activities for the three months ended March 31, 2026 was primarily attributable to $98.0 million in proceeds from the sale of common shares under our ATM program, $196.7 million in proceeds from our debt facility and $3.5 million from the exercise of stock options, partially offset by $103.1 million from the repayment of our Existing Loan Agreement with Oxford and $1.3 million of debt issuance costs related to our Financing Agreement with Blue Owl. Net cash provided by financing activities for the three months ended March 31, 2025 was primarily attributable to proceeds from the exercise of stock options and the proceeds from our debt refinancing, partially offset by the long-term debt extinguishment.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expect our expenses to be substantial as we continue the research and development of apitegromab in SMA. In addition, we are seeking marketing approval for apitegromab, and we expect to incur significant commercialization expenses related to product sales, marketing, global manufacturing and distribution. We expect to continue to incur apitegromab development costs as we invest in trials to support other SMA patient populations, such as our Phase 2 OPAL clinical trial, and for programs in multiple other diseases beyond SMA where selective inhibition of myostatin activation may offer therapeutic benefit, such as our planned Phase 2 FORGE trial. We expect to incur costs to support our anti-myostatin program, including the close out activities for our Phase 2 EMBRAZE proof-of-concept trial of apitegromab and our Phase 1 trial for SRK-439. Additionally, we will support the development of our pipeline and any other preclinical programs. Furthermore, we expect to continue to incur costs associated with operating as a public company.</w:t>
      </w:r>
    </w:p>
    <w:p>
      <w:pPr>
        <w:spacing w:after="0" w:line="148"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Based on our current operating model, we expect that our existing cash, cash equivalents and marketable securities will enable us to fund our operating expenses and capital expenditure requirements into 2027. However, we will require additional capital in order to complete clinical development and commercialization for each of our current programs. We have based this estimate on assumptions that may prove to be wrong, and we may use our available capital resources sooner than we currently expect. Our future capital requirements will depend on many factors, including:</w:t>
      </w:r>
    </w:p>
    <w:p>
      <w:pPr>
        <w:spacing w:after="0" w:line="156" w:lineRule="exact"/>
        <w:rPr>
          <w:sz w:val="20"/>
          <w:szCs w:val="20"/>
          <w:color w:val="auto"/>
        </w:rPr>
      </w:pPr>
    </w:p>
    <w:p>
      <w:pPr>
        <w:ind w:left="720" w:right="139" w:hanging="319"/>
        <w:spacing w:after="0" w:line="277" w:lineRule="auto"/>
        <w:tabs>
          <w:tab w:leader="none" w:pos="7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developing our product candidates and future product candidates, including costs associated with apitegromab in ONYX, our long-term extension study in SMA for patients from both the TOPAZ and SAPPHIRE studies, our Phase 2 OPAL trial in SMA patients under the age of two, our planned Phase 2 FORGE trial in FSHD patients, our Phase 1 trial of SRK-439 in healthy volunteers and the costs and timing of conducting future preclinical studies and clinical trials for SRK-373, SRK-256 or any other product candidates;</w:t>
      </w:r>
    </w:p>
    <w:p>
      <w:pPr>
        <w:spacing w:after="0" w:line="5" w:lineRule="exact"/>
        <w:rPr>
          <w:rFonts w:ascii="Times New Roman" w:cs="Times New Roman" w:eastAsia="Times New Roman" w:hAnsi="Times New Roman"/>
          <w:sz w:val="17"/>
          <w:szCs w:val="17"/>
          <w:color w:val="auto"/>
        </w:rPr>
      </w:pPr>
    </w:p>
    <w:p>
      <w:pPr>
        <w:ind w:left="720" w:right="17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manufacturing of apitegromab, SRK-181, SRK-439, SRK-373, SRK-256 and any other future product candidates;</w:t>
      </w:r>
    </w:p>
    <w:p>
      <w:pPr>
        <w:spacing w:after="0" w:line="1" w:lineRule="exact"/>
        <w:rPr>
          <w:rFonts w:ascii="Times New Roman" w:cs="Times New Roman" w:eastAsia="Times New Roman" w:hAnsi="Times New Roman"/>
          <w:sz w:val="18"/>
          <w:szCs w:val="18"/>
          <w:color w:val="auto"/>
        </w:rPr>
      </w:pPr>
    </w:p>
    <w:p>
      <w:pPr>
        <w:ind w:left="720" w:right="25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clinical trials for other potential product candidates we may develop, if any;</w:t>
      </w:r>
    </w:p>
    <w:p>
      <w:pPr>
        <w:spacing w:after="0" w:line="1" w:lineRule="exact"/>
        <w:rPr>
          <w:rFonts w:ascii="Times New Roman" w:cs="Times New Roman" w:eastAsia="Times New Roman" w:hAnsi="Times New Roman"/>
          <w:sz w:val="18"/>
          <w:szCs w:val="18"/>
          <w:color w:val="auto"/>
        </w:rPr>
      </w:pPr>
    </w:p>
    <w:p>
      <w:pPr>
        <w:ind w:left="720" w:right="91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identifying and developing, or in-licensing or acquiring, additional product candidates and technologies;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63"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license agreements, or other agreements we might have at such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seeking marketing approvals for apitegromab;</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sales, marketing, manufacturing and distribution for apitegromab, if approved;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apitegromab, if approved;</w:t>
      </w:r>
    </w:p>
    <w:p>
      <w:pPr>
        <w:spacing w:after="0" w:line="63" w:lineRule="exact"/>
        <w:rPr>
          <w:rFonts w:ascii="Times New Roman" w:cs="Times New Roman" w:eastAsia="Times New Roman" w:hAnsi="Times New Roman"/>
          <w:sz w:val="18"/>
          <w:szCs w:val="18"/>
          <w:color w:val="auto"/>
        </w:rPr>
      </w:pPr>
    </w:p>
    <w:p>
      <w:pPr>
        <w:ind w:left="720" w:right="619" w:hanging="319"/>
        <w:spacing w:after="0" w:line="28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rights and defending intellectual property-related claims;</w:t>
      </w:r>
    </w:p>
    <w:p>
      <w:pPr>
        <w:spacing w:after="0" w:line="1" w:lineRule="exact"/>
        <w:rPr>
          <w:rFonts w:ascii="Times New Roman" w:cs="Times New Roman" w:eastAsia="Times New Roman" w:hAnsi="Times New Roman"/>
          <w:sz w:val="18"/>
          <w:szCs w:val="18"/>
          <w:color w:val="auto"/>
        </w:rPr>
      </w:pPr>
    </w:p>
    <w:p>
      <w:pPr>
        <w:ind w:left="720" w:right="719" w:hanging="319"/>
        <w:spacing w:after="0" w:line="28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global business operations and research and development activities;</w:t>
      </w:r>
    </w:p>
    <w:p>
      <w:pPr>
        <w:spacing w:after="0" w:line="1" w:lineRule="exact"/>
        <w:rPr>
          <w:rFonts w:ascii="Times New Roman" w:cs="Times New Roman" w:eastAsia="Times New Roman" w:hAnsi="Times New Roman"/>
          <w:sz w:val="18"/>
          <w:szCs w:val="18"/>
          <w:color w:val="auto"/>
        </w:rPr>
      </w:pPr>
    </w:p>
    <w:p>
      <w:pPr>
        <w:ind w:left="720" w:right="179" w:hanging="319"/>
        <w:spacing w:after="0" w:line="28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supporting our global infrastructure and facilities, including equipment and physical infrastructure to support our research and development;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global public company; and</w:t>
      </w:r>
    </w:p>
    <w:p>
      <w:pPr>
        <w:spacing w:after="0" w:line="63"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global economic conditions on our business, including increased costs associated with global tariff policies, which may exacerbate the magnitude of the factors discussed above.</w:t>
      </w:r>
    </w:p>
    <w:p>
      <w:pPr>
        <w:spacing w:after="0" w:line="25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5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common stockholder ownership interests may be diluted, and the terms of these securities may include liquidation or other preferences that could adversely affect the rights of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4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Market volatility or other factors could also adversely impact our ability to access capital as and when needed.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is based on our condensed consolidated financial statements, which have been prepared in accordance with U.S. generally accepted accounting principles. The preparation of these condensed consolidated financial statements requires us to make judgments and estimates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the results of which form the basis for making judgements about the carrying values of assets and liabilities that are not readily apparent from other sources.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consolidated financial statements prospectively from the date of change in estimates. Our actual results may differ from these estimates under different assumptions or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w:t>
      </w:r>
    </w:p>
    <w:p>
      <w:pPr>
        <w:spacing w:after="0" w:line="27"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our Annual Report on Form 10-K for the year ended December 31, 2025.</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to our condensed consolidated financial statements appearing elsewhere in this Quarterly Report, they will not have a material impact on our financial statements or do not otherwise apply to our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Smaller Reporting Company and Non-Accelerated Filer Status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Based on the market value of our common stock held by our non-affiliates as of June 30, 2025, we are no longer a smaller reporting company. Accordingly, we ceased to be eligible to use the requirements for a smaller reporting company beginning with our Quarterly Report on Form 10-Q for the quarter ended March 31, 2026, and are thus subject to additional disclosure and compliance requirements. Because we remained eligible to use the requirements for smaller reporting companies through December 31, 2025, we will remain a “non-accelerated filer” through December 31, 2026.</w:t>
      </w:r>
    </w:p>
    <w:p>
      <w:pPr>
        <w:spacing w:after="0" w:line="152" w:lineRule="exact"/>
        <w:rPr>
          <w:sz w:val="20"/>
          <w:szCs w:val="20"/>
          <w:color w:val="auto"/>
        </w:rPr>
      </w:pPr>
    </w:p>
    <w:p>
      <w:pPr>
        <w:ind w:left="60" w:right="3719"/>
        <w:spacing w:after="0" w:line="456"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we had cash, cash equivalents, and marketable securities totaling $479.9 million and $367.6 million, respectively, which included bank deposits, money market funds, U.S. treasury obligations and government agency securities. Our primary exposure to market risk is interest rate sensitivity, which is affected by changes in the general level of U.S. interest rates, particularly because our investments are in short-term marketable securities. Such interest-earning instruments carry a degree of interest rate risk; however, historical fluctuations in interest income have not been significant for us. Due to the short-term duration of our cash equivalents and marketable securities, we do not believe an immediate one percent change in interest rates would have a material effect on the fair value of our cash equivalents and marketable securities.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operations include activities in countries outside the U.S. As a result, our financial results are impacted by factors such as changes in foreign currency exchange rates or weak economic conditions in the foreign markets where we operate. We do not currently hedge our foreign currency exchange rate risk. Our monetary exposures on our condensed consolidated balance sheet were immaterial to our financial position as of March 31, 2026 and December 31, 2025.</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research, manufacturing and development costs, and clinical trial costs. We have not seen a significant impact from inflation on our business, financial condition or results of operations as of March 31, 2026. However, a significant or prolonged period of high inflation could adversely impact our results if the increase in costs outpaces the growth in our revenues.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0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Exchange Act is (1) recorded, processed, summarized and reported within the time periods specified in the Securities and Exchange Commission’s rules and forms and (2) accumulated and communicated to our management, including our principal executive officer and principal financial and accounting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and accounting officer) has evaluated the effectiveness of our disclosure controls and procedures as of March 31, 2026, the end of the period covered by this Quarterly Report on Form 10-Q. Based upon such evaluation, our chief executive officer and chief financial officer have concluded that our disclosure controls and procedures were effective at the reasonable assurance level as of such date. 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controls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Quarterly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together with all other information set forth in this Quarterly Report, including our condensed consolidated financial statements and related notes, and “Management’s Discussion and Analysis of Financial Condition and Results of Operations,” and in other documents that we file with the SEC, in evaluating Scholar Rock Holding Corporation and our subsidiaries (collectively, the “Company,” “we,” or “our”) and our business, before investing in our common stock. Investing in our common stock involves a high degree of risk. If any of the following risks and uncertainties actually occurs, our business, prospects, financial condition and results of operations could be materially and adversely affected. The market price of our common stock could decline if one or more of these risks or uncertainties were to occur, which may cause you to lose all or part of the money you paid to buy our common stock. The risk factors described below disclose both material and other risks, and are not intended to be exhaustive and are not the only risks facing the Company. New risk factors can emerge from time to time, and it is not possible to predict the impact that any factor or combination of factors may have on our business, prospects, financial condition and results of operations. Certain statements below are forward-looking statements. See “Special Note Regarding Forward-Looking Statements” in this Quarterly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175"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before making an investment decision, including those highlighted in the section entitled “Risk Factors.” These risks include, but are not limited to, the following:</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Related to Product Development, Regulatory Approval and Commercialization</w:t>
      </w:r>
    </w:p>
    <w:p>
      <w:pPr>
        <w:spacing w:after="0" w:line="171" w:lineRule="exact"/>
        <w:rPr>
          <w:sz w:val="20"/>
          <w:szCs w:val="20"/>
          <w:color w:val="auto"/>
        </w:rPr>
      </w:pPr>
    </w:p>
    <w:p>
      <w:pPr>
        <w:ind w:left="720" w:right="79" w:hanging="319"/>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apitegromab in the U.S., EU and other jurisdictions will be lengthy, time-consuming and inherently unpredictable and we may fail to receive or be delayed in receiving regulatory approval of apitegromab, or we may receive regulatory approval for only a subset of SMA patients. Our progress toward potential commercialization of apitegromab has been delayed. We received a CRL from the FDA in September 2025 and in March 2026 we resubmitted the apitegromab BLA which was accepted by the FDA. The CRL could impact the current review process of our MAA with the EMA, which could result in a delay or a resubmission of the MAA to the EMA.</w:t>
      </w:r>
    </w:p>
    <w:p>
      <w:pPr>
        <w:spacing w:after="0" w:line="134"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and are in the process of building and scaling our business for potential commercialization of apitegromab in the United States and Europe, including building our compliance, medical affairs and commercial organizations, which, if we are not able to do so successfully could negatively impact our business, including the potential for a successful commercialization of apitegromab.</w:t>
      </w:r>
    </w:p>
    <w:p>
      <w:pPr>
        <w:spacing w:after="0" w:line="125"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disruptions at the FDA and other government agencies caused by funding cuts, government shutdowns, personnel reductions, substantial changes in leadership and policy, or other changes or disruptions to these agencies’ operations could prevent these agencies from performing functions on which the operation of our business relies, including the timely review and potential approval of our accepted BLA resubmission, and any such disruptions and changes could negatively impact our business.</w:t>
      </w:r>
    </w:p>
    <w:p>
      <w:pPr>
        <w:spacing w:after="0" w:line="129"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pricing and reimbursement decisions in the EU could significantly delay or limit patient access to apitegromab, if approved, and materially reduce our anticipated revenues. Even if we obtain marketing authorization, the EU health technology assessment bodies and national payors may impose price reductions, require additional clinical or real world evidence, restrict reimbursement, or deny coverage altogether. Pricing and reimbursement negotiations in the EU are often lengthy, highly uncertain, and subject to country by country requirements, reference pricing, budget impact assessments, and mandatory discounts. As a result, the commercial viability of apitegromab in the EU may be materially impacted.</w:t>
      </w:r>
    </w:p>
    <w:p>
      <w:pPr>
        <w:spacing w:after="0" w:line="134" w:lineRule="exact"/>
        <w:rPr>
          <w:rFonts w:ascii="Times New Roman" w:cs="Times New Roman" w:eastAsia="Times New Roman" w:hAnsi="Times New Roman"/>
          <w:sz w:val="18"/>
          <w:szCs w:val="18"/>
          <w:color w:val="auto"/>
        </w:rPr>
      </w:pPr>
    </w:p>
    <w:p>
      <w:pPr>
        <w:ind w:left="720" w:right="359" w:hanging="319"/>
        <w:spacing w:after="0" w:line="289" w:lineRule="auto"/>
        <w:tabs>
          <w:tab w:leader="none" w:pos="7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involves a lengthy and expensive process, with an uncertain outcome. We may incur additional costs or experience delays in completing, or ultimately be unable to complete, the development and commercialization of apitegromab, SRK-181, SRK-439, or any future product candidates. Many of the factors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spacing w:after="0" w:line="282" w:lineRule="auto"/>
        <w:rPr>
          <w:sz w:val="20"/>
          <w:szCs w:val="20"/>
          <w:color w:val="auto"/>
        </w:rPr>
      </w:pPr>
      <w:r>
        <w:rPr>
          <w:rFonts w:ascii="Times New Roman" w:cs="Times New Roman" w:eastAsia="Times New Roman" w:hAnsi="Times New Roman"/>
          <w:sz w:val="18"/>
          <w:szCs w:val="18"/>
          <w:color w:val="auto"/>
        </w:rPr>
        <w:t>that cause, or lead to, a delay in the initiation or completion of clinical trials may also ultimately lead to the denial of regulatory approval or limit market acceptance of our product candidates.</w:t>
      </w:r>
    </w:p>
    <w:p>
      <w:pPr>
        <w:spacing w:after="0" w:line="108" w:lineRule="exact"/>
        <w:rPr>
          <w:sz w:val="20"/>
          <w:szCs w:val="20"/>
          <w:color w:val="auto"/>
        </w:rPr>
      </w:pPr>
    </w:p>
    <w:p>
      <w:pPr>
        <w:ind w:left="720" w:right="1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Success of a product candidate in an early-stage clinical trial may not be replicated in later-stage clinical trials.</w:t>
      </w:r>
    </w:p>
    <w:p>
      <w:pPr>
        <w:spacing w:after="0" w:line="134" w:lineRule="exact"/>
        <w:rPr>
          <w:rFonts w:ascii="Times New Roman" w:cs="Times New Roman" w:eastAsia="Times New Roman" w:hAnsi="Times New Roman"/>
          <w:sz w:val="18"/>
          <w:szCs w:val="18"/>
          <w:color w:val="auto"/>
        </w:rPr>
      </w:pPr>
    </w:p>
    <w:p>
      <w:pPr>
        <w:jc w:val="both"/>
        <w:ind w:left="720" w:right="13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initial and preliminary results from our clinical trials that we announce or publish from time to time may change (e.g., from positive safety or efficacy results to poor or negative safety or efficacy results) as more patient data become available and are subject to additional audit, validation and verification procedures that could result in material changes in the final data.</w:t>
      </w:r>
    </w:p>
    <w:p>
      <w:pPr>
        <w:spacing w:after="0" w:line="139"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to conduct certain aspects of our preclinical studies. If these third parties do not successfully carry out their contractual duties or meet expected deadlines or comply with legal and regulatory requirements, we may be delayed or unable to receive regulatory approval of or commercialize apitegromab, SRK-439 or any future product candidates, and our business could be materially harmed.</w:t>
      </w:r>
    </w:p>
    <w:p>
      <w:pPr>
        <w:spacing w:after="0" w:line="129"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development is uncertain. Our preclinical programs may experience delays or may never advance to clinical trials, which would adversely affect our ability to develop our product pipeline and receive regulatory approvals or commercialize these programs on a timely basis or at all, which would have an adverse effect on our business.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Operations</w:t>
      </w:r>
    </w:p>
    <w:p>
      <w:pPr>
        <w:spacing w:after="0" w:line="198" w:lineRule="exact"/>
        <w:rPr>
          <w:sz w:val="20"/>
          <w:szCs w:val="20"/>
          <w:color w:val="auto"/>
        </w:rPr>
      </w:pPr>
    </w:p>
    <w:p>
      <w:pPr>
        <w:jc w:val="both"/>
        <w:ind w:left="720" w:right="33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rely on a limited number of third-party manufacturing and supply partners, our supply of research and development, preclinical and clinical development materials, and, if approved, commercial materials, may become limited or interrupted or may not be of satisfactory quantity or quality.</w:t>
      </w:r>
    </w:p>
    <w:p>
      <w:pPr>
        <w:spacing w:after="0" w:line="135" w:lineRule="exact"/>
        <w:rPr>
          <w:rFonts w:ascii="Times New Roman" w:cs="Times New Roman" w:eastAsia="Times New Roman" w:hAnsi="Times New Roman"/>
          <w:sz w:val="18"/>
          <w:szCs w:val="18"/>
          <w:color w:val="auto"/>
        </w:rPr>
      </w:pPr>
    </w:p>
    <w:p>
      <w:pPr>
        <w:jc w:val="both"/>
        <w:ind w:left="720" w:right="63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such as manufacturers, third-party logistics providers, specialty distributors, specialty pharmacies, and patient service providers, may subject us to risks and may cause us to undertake substantial obligations, including financial obligations.</w:t>
      </w:r>
    </w:p>
    <w:p>
      <w:pPr>
        <w:spacing w:after="0" w:line="135" w:lineRule="exact"/>
        <w:rPr>
          <w:rFonts w:ascii="Times New Roman" w:cs="Times New Roman" w:eastAsia="Times New Roman" w:hAnsi="Times New Roman"/>
          <w:sz w:val="18"/>
          <w:szCs w:val="18"/>
          <w:color w:val="auto"/>
        </w:rPr>
      </w:pPr>
    </w:p>
    <w:p>
      <w:pPr>
        <w:ind w:left="720" w:right="43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continue to grow our organization in certain areas, including our personnel, systems and relationships with third parties, in order to develop our drug candidates and we may experience difficulties in managing this growth.</w:t>
      </w:r>
    </w:p>
    <w:p>
      <w:pPr>
        <w:spacing w:after="0" w:line="148" w:lineRule="exact"/>
        <w:rPr>
          <w:rFonts w:ascii="Times New Roman" w:cs="Times New Roman" w:eastAsia="Times New Roman" w:hAnsi="Times New Roman"/>
          <w:sz w:val="18"/>
          <w:szCs w:val="18"/>
          <w:color w:val="auto"/>
        </w:rPr>
      </w:pPr>
    </w:p>
    <w:p>
      <w:pPr>
        <w:jc w:val="both"/>
        <w:ind w:left="720" w:right="4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and highly skilled technical and managerial personnel are critical to our business. If we have transition in management, lose key personnel, or if we fail to recruit additional highly skilled personnel, our ability to further develop apitegromab, SRK-181, SRK-439 and identify and develop new or next generation product candidates may be impaired.</w:t>
      </w:r>
    </w:p>
    <w:p>
      <w:pPr>
        <w:spacing w:after="0" w:line="139"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care, privacy and data protection laws and regulations could lead to government or competent authority enforcement actions (which could include civil or criminal penalties), private litigation, and/or adverse publicity and could negatively affect our operation results and business.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Related to Our Intellectual Property</w:t>
      </w:r>
    </w:p>
    <w:p>
      <w:pPr>
        <w:spacing w:after="0" w:line="198" w:lineRule="exact"/>
        <w:rPr>
          <w:sz w:val="20"/>
          <w:szCs w:val="20"/>
          <w:color w:val="auto"/>
        </w:rPr>
      </w:pPr>
    </w:p>
    <w:p>
      <w:pPr>
        <w:ind w:left="720" w:right="2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the proprietary rights of third parties. Third-party claims of intellectual property infringement may prevent or delay our product discovery, development, and commercialization efforts.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Related to Our Financial Condition and Capital Requirements</w:t>
      </w:r>
    </w:p>
    <w:p>
      <w:pPr>
        <w:spacing w:after="0" w:line="198" w:lineRule="exact"/>
        <w:rPr>
          <w:sz w:val="20"/>
          <w:szCs w:val="20"/>
          <w:color w:val="auto"/>
        </w:rPr>
      </w:pPr>
    </w:p>
    <w:p>
      <w:pPr>
        <w:ind w:left="720" w:right="4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every year since our inception and anticipate that we will continue to incur net losses in the future.</w:t>
      </w:r>
    </w:p>
    <w:p>
      <w:pPr>
        <w:spacing w:after="0" w:line="121"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and if we fail to obtain necessary capital, we will not be able to complete the development and commercialization of apitegromab, SRK-181, SRK-439 and any future product candidates.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Related to Our Common Stock</w:t>
      </w:r>
    </w:p>
    <w:p>
      <w:pPr>
        <w:spacing w:after="0" w:line="198"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is volatile, and you could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185"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for apitegromab in the U.S., EU and other jurisdictions will be lengthy, time-consuming and inherently unpredictable and we may fail to receive or be delayed in receiving regulatory approval of apitegromab, or we may receive regulatory approval for only a subset of SMA patients. Our progress toward potential commercialization of apitegromab has been delayed. We received a CRL from the FDA in September 2025 and in March 2026 resubmitted the apitegromab BLA which was accepted by the FDA.</w:t>
      </w:r>
    </w:p>
    <w:p>
      <w:pPr>
        <w:spacing w:after="0" w:line="15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research, testing, manufacturing, labeling, approval, sale, import, export, marketing, promotion and distribution of drug products, including biologics, are subject to extensive regulation by the FDA in the U.S. and other regulatory authorities outside the U.S. We are not permitted to market any biological product in the U.S. until we receive a biologics license from the FDA. Prior to submitting the BLA to the U.S. FDA in January 2025 and submitting the MAA to the EMA in March 2025 for apitegromab as a treatment for patients with SMA, we had not submitted a BLA to the FDA or MAA to the EMA or similar marketing application to comparable foreign authorities. A BLA must include extensive preclinical and clinical data and supporting information to establish that the product candidate is safe, pure and potent for each desired indication. FDA, EC or comparable foreign regulatory authorities’ approval of a new biologic or drug generally requires data from one or more adequate and well-controlled pivotal Phase 3 clinical trials of the biologic or drug in the relevant patient population. The FDA, EMA or comparable foreign regulatory authorities may disagree with the design or implementation of our clinical trials or our analysis or interpretation of data from preclinical studies or clinical trials, the results of our clinical trials may not meet the level of statistical significance or amount of data required for approval, regulatory authorities may not agree with the statistical methods we used to evaluate our clinical data, or we may be unable to demonstrate that apitegromab’s clinical and other benefits outweigh its safety risks. Even if the FDA, EMA, or other regulatory authorities were to grant approval for apitegromab in SMA, one or more of these regulatory authorities may determine that the approval should be limited to a subset b of SMA patients, which could restrict the commercial potential of apitegromab in SMA. A BLA to the FDA or MAA to the EMA must also include significant information regarding the chemistry, manufacturing, and controls for the product, and the manufacturing facilities must complete a successful pre-license inspection as well as certain key clinical sites conducting our clinical trials. The FDA, EMA or comparable foreign regulatory authorities may fail to approve the manufacturing processes or facilities of third-party manufacturers with which we contract for clinical and commercial supplies.</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September 2025, we received a CRL from the FDA citing observations identified during an FDA inspection of a third-party fill-finish facility. This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we completed an in-person Type A meeting with the FDA that included participation of representatives from the third-party fill-finish facility. Also in November 2025, the third-party fill-finish facility received a Warning Letter from the FDA. We resubmitted the apitegromab BLA in March 2026 with two third-party fill-finish facilities included, which was accepted by the Agency with a September 30, 2026 PDUFA action date. The FDA has completed reinspection of the applicable third-party fill-finish facility; however, there can be no guarantee of the timing of the resolution of the OAI classification of the facility that was reinspected or that the FDA will approve apitegromab. The CRL has delayed our progress toward potential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commercialization of apitegromab and we may be subject to additional risks such as a loss of our competitive advantage, increased litigation and other regulatory issues.</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CRL could also adversely affect the ongoing regulatory review of the apitegromab MAA by the EMA. As part of its review, the EMA has a mutual recognition agreement with the FDA, and we believe satisfactory resolution of the OAI classification will be necessary for MAA approval. The EMA may also require additional assurance regarding the suitability of manufacturing sites prior to approval which could result in a delay in review timelines. GMP non-compliance at the third-party fill-finish facility could, in the most adverse scenario, even result in a negative CHMP opinion and refusal of the MAA by the EC.</w:t>
      </w:r>
    </w:p>
    <w:p>
      <w:pPr>
        <w:spacing w:after="0" w:line="143"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and are in the process of building and scaling our business for potential commercialization of apitegromab in the United States and Europe, including building our compliance, medical affairs and commercial organizations, which, if we are not able to do so successfully could negatively impact our business, including the potential for a successful commercialization of apitegromab.</w:t>
      </w:r>
    </w:p>
    <w:p>
      <w:pPr>
        <w:spacing w:after="0" w:line="14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Although we are preparing our commercialization capabilities in anticipation of a potential approval and commercial launch of apitegromab in the United States and Europe, we have no prior sales or distribution experience and limited capabilities for marketing and market access. We expect to invest significant financial and management resources over time to establish compliance, medical affairs and commercial organizations for the marketing, sales and distribution of apitegromab in the United States and Europe, if approved in each jurisdiction, and other capabilities and infrastructure to support commercial operations. If we are unable to establish these commercial capabilities and infrastructure in a timely manner or to enter into agreements with third parties to market, sell, and/or distribute apitegromab if approved, we may be unable to complete a successful commercial launch. To the extent we enter into agreements with third parties, the revenue we receive may depend upon the efforts of such third parties, over which we may have limited or no control, and our revenue from product sales may be lower than if we had commercialized the products ourselves. We also face competition in our search for third parties to assist us with the distribution, sales and marketing of our products.</w:t>
      </w:r>
    </w:p>
    <w:p>
      <w:pPr>
        <w:spacing w:after="0" w:line="165"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Furthermore, we intend to commercialize apitegromab in the United States and Europe initially, and globally, if approved. In order to do so, we must build, on a territory-by-territory basis, marketing, sales, distribution, managerial and other capabilities or make arrangements with third parties to perform these services, and we may not be successful in doing so.</w:t>
      </w:r>
    </w:p>
    <w:p>
      <w:pPr>
        <w:spacing w:after="0" w:line="113"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or disruptions at the FDA and other government agencies caused by funding cuts, government shutdowns, personnel reductions, substantial changes in leadership and policy, or other changes or disruptions to these agencies’ operations could prevent these agencies from performing functions on which the operation of our business relies, including the timely review and potential approval of our accepted BLA resubmission, and any such disruptions and changes could negatively impact our business.</w:t>
      </w:r>
    </w:p>
    <w:p>
      <w:pPr>
        <w:spacing w:after="0" w:line="143"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The ability of the FDA and foreign regulatory authorities to review and or approve new products can be affected by a variety of factors, including government budget and funding levels, staffing levels, and statutory, regulatory, and policy changes, the FDA’s and foreign regulatory authorities' ability to hire and retain key personnel and accept the payment of user fees, and other events that may otherwise affect the FDA’s ability to perform routine functions. Average review times at the FDA and foreign regulatory authorities have fluctuated in recent years as a result. Disruptions at the FDA and other agencies, including substantial leadership, personnel, and policy changes, may also slow the time necessary for new drugs to be reviewed and/or approved by necessary government agencies, which would adversely affect our business. In 2025, the U.S. government has, among other measures, issued executive orders and undertaken reductions in force that have adversely impacted FDA staffing and resources. Such changes could significantly impact the ability of the FDA to timely review and take action on our regulatory submissions, which could have a material adverse effect on our business.</w:t>
      </w:r>
    </w:p>
    <w:p>
      <w:pPr>
        <w:spacing w:after="0" w:line="150" w:lineRule="exact"/>
        <w:rPr>
          <w:sz w:val="20"/>
          <w:szCs w:val="20"/>
          <w:color w:val="auto"/>
        </w:rPr>
      </w:pPr>
    </w:p>
    <w:p>
      <w:pPr>
        <w:jc w:val="both"/>
        <w:ind w:left="60" w:right="199"/>
        <w:spacing w:after="0" w:line="257" w:lineRule="auto"/>
        <w:rPr>
          <w:sz w:val="20"/>
          <w:szCs w:val="20"/>
          <w:color w:val="auto"/>
        </w:rPr>
      </w:pPr>
      <w:r>
        <w:rPr>
          <w:rFonts w:ascii="Times New Roman" w:cs="Times New Roman" w:eastAsia="Times New Roman" w:hAnsi="Times New Roman"/>
          <w:sz w:val="18"/>
          <w:szCs w:val="18"/>
          <w:color w:val="auto"/>
        </w:rPr>
        <w:t>In addition, changes in the requirements and policies of the FDA and other regulatory agencies with jurisdiction over our products, including applicable pricing and reimbursement frameworks under federal healthcare programs, could affect the commercial viability of our products, create revenue uncertainty, and impact our ability to achieve profitability.</w:t>
      </w:r>
    </w:p>
    <w:p>
      <w:pPr>
        <w:spacing w:after="0" w:line="1" w:lineRule="exact"/>
        <w:rPr>
          <w:sz w:val="20"/>
          <w:szCs w:val="20"/>
          <w:color w:val="auto"/>
        </w:rPr>
      </w:pPr>
    </w:p>
    <w:p>
      <w:pPr>
        <w:ind w:left="60" w:right="459"/>
        <w:spacing w:after="0" w:line="290" w:lineRule="auto"/>
        <w:rPr>
          <w:sz w:val="20"/>
          <w:szCs w:val="20"/>
          <w:color w:val="auto"/>
        </w:rPr>
      </w:pPr>
      <w:r>
        <w:rPr>
          <w:rFonts w:ascii="Times New Roman" w:cs="Times New Roman" w:eastAsia="Times New Roman" w:hAnsi="Times New Roman"/>
          <w:sz w:val="17"/>
          <w:szCs w:val="17"/>
          <w:color w:val="auto"/>
        </w:rPr>
        <w:t>Additionally, regulatory changes may introduce new challenges in obtaining FDA approval or navigating commercialization, and any delay in securing applicable regulatory approvals would adversely affect our business and</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prospects. These uncertainties could also present new challenges and/or opportunities for our FDA accepted BLA resubmission and make other preparations for potential commercialization. Any delay in obtaining, or our inability to obtain, applicable regulatory approvals would delay or prevent commercialization of apitegromab and could materially adversely impact our business and prospects.</w:t>
      </w:r>
    </w:p>
    <w:p>
      <w:pPr>
        <w:spacing w:after="0" w:line="149"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We may incur additional costs or experience delays in completing, or ultimately be unable to complete, the development and commercialization of apitegromab, SRK-181, SRK-439, or any future product candidates. Many of the factors that cause, or lead to, a delay in the initiation or completion of clinical trials may also ultimately lead to the denial of regulatory approval or limit market acceptance of our product candidates.</w:t>
      </w:r>
    </w:p>
    <w:p>
      <w:pPr>
        <w:spacing w:after="0" w:line="14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candidates, we must demonstrate through extensive preclinical studies and clinical trials that our product candidates are safe and effective in humans. Clinical development is expensive and can take many years to complete, and its outcome is inherently uncertain, a clinical trial can fail at any stage of development. We may experience delays in initiating, progressing or completing our clinical trials. We may be unable to establish clinical endpoints that applicable regulatory authorities would consider clinically meaningful. Clinical trials may fail to meet their primary or secondary endpoints, raise safety concerns or generate mixed results. Differences in trial design between early-stage clinical trials and later-stage clinical trials make it difficult to extrapolate the results of earlier clinical trials to later clinical trials. Clinical data may not be sufficient to apply for and obtain regulatory approval on the timelines we expect or at all. Other decisions or actions of regulatory agencies may affect our plans, progress or results.</w:t>
      </w:r>
    </w:p>
    <w:p>
      <w:pPr>
        <w:spacing w:after="0" w:line="154"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also may experience numerous unforeseen events during, or as a result of, any clinical trials in process or any future clinical trials that we conduct that could delay or prevent our ability to receive marketing approval or commercialize apitegromab, SRK-181, SRK-439, or any future product candidates, including:</w:t>
      </w:r>
    </w:p>
    <w:p>
      <w:pPr>
        <w:spacing w:after="0" w:line="149" w:lineRule="exact"/>
        <w:rPr>
          <w:sz w:val="20"/>
          <w:szCs w:val="20"/>
          <w:color w:val="auto"/>
        </w:rPr>
      </w:pPr>
    </w:p>
    <w:p>
      <w:pPr>
        <w:ind w:left="720" w:right="35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reach agreement with the FDA or comparable foreign regulatory authorities on acceptable clinical trial design, conduct or statistical analysis plan;</w:t>
      </w:r>
    </w:p>
    <w:p>
      <w:pPr>
        <w:spacing w:after="0" w:line="107"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10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21"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and effectiveness, or produce negative or inconclusive results and we may decide, or regulators may require us, to conduct additional preclinical studies or clinical trials or we may decide to abandon product development programs;</w:t>
      </w:r>
    </w:p>
    <w:p>
      <w:pPr>
        <w:spacing w:after="0" w:line="121"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enrollment in these clinical trials may be slower or more challenging than we anticipate or subjects may drop out of these clinical trials or fail to return for post treatment follow-up at a higher rate than we anticipate;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or recruiting sufficient study sites or investigators for clinical trials;</w:t>
      </w:r>
    </w:p>
    <w:p>
      <w:pPr>
        <w:spacing w:after="0" w:line="17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07"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study sites or clinical investigators may deviate from the clinical trial protocol or drop out of the trial, which may require that we add new clinical trial sites or investigators;</w:t>
      </w:r>
    </w:p>
    <w:p>
      <w:pPr>
        <w:spacing w:after="0" w:line="107"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data safety monitoring boards, or ethics committees may recommend or require that we or our investigators, suspend or terminate clinical research or trials for various reasons, including noncompliance with regulatory requirements, a finding that the participants are being exposed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spacing w:after="0" w:line="282" w:lineRule="auto"/>
        <w:rPr>
          <w:sz w:val="20"/>
          <w:szCs w:val="20"/>
          <w:color w:val="auto"/>
        </w:rPr>
      </w:pPr>
      <w:r>
        <w:rPr>
          <w:rFonts w:ascii="Times New Roman" w:cs="Times New Roman" w:eastAsia="Times New Roman" w:hAnsi="Times New Roman"/>
          <w:sz w:val="18"/>
          <w:szCs w:val="18"/>
          <w:color w:val="auto"/>
        </w:rPr>
        <w:t>unacceptable health risks, undesirable side effects or unexpected characteristics, or reports from clinical testing of other therapies that raise safety or efficacy concerns about our product candidates;</w:t>
      </w:r>
    </w:p>
    <w:p>
      <w:pPr>
        <w:spacing w:after="0" w:line="108" w:lineRule="exact"/>
        <w:rPr>
          <w:sz w:val="20"/>
          <w:szCs w:val="20"/>
          <w:color w:val="auto"/>
        </w:rPr>
      </w:pPr>
    </w:p>
    <w:p>
      <w:pPr>
        <w:ind w:left="720" w:right="53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or our CROs’ ability to access and verify clinical trial data captured at clinical study sites through monitoring and source document verification;</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 product candidate may be greater than we anticipate;</w:t>
      </w:r>
    </w:p>
    <w:p>
      <w:pPr>
        <w:spacing w:after="0" w:line="17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to initiate or complete a given clinical trial;</w:t>
      </w:r>
    </w:p>
    <w:p>
      <w:pPr>
        <w:spacing w:after="0" w:line="107"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when used in a new disease indication or with products in a different class which may raise safety, efficacy or other concerns about our product candidate as a potential therapy in that new disease indication or other indications or its use with products in a different class;</w:t>
      </w:r>
    </w:p>
    <w:p>
      <w:pPr>
        <w:spacing w:after="0" w:line="1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and/or data emerging from other molecules in the same class as our product candidate;</w:t>
      </w:r>
    </w:p>
    <w:p>
      <w:pPr>
        <w:spacing w:after="0" w:line="107"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require us to submit additional data, such as long-term toxicology studies, or change or impose other requirements before permitting us to initiate a clinical trial; and</w:t>
      </w:r>
    </w:p>
    <w:p>
      <w:pPr>
        <w:spacing w:after="0" w:line="107" w:lineRule="exact"/>
        <w:rPr>
          <w:rFonts w:ascii="Times New Roman" w:cs="Times New Roman" w:eastAsia="Times New Roman" w:hAnsi="Times New Roman"/>
          <w:sz w:val="18"/>
          <w:szCs w:val="18"/>
          <w:color w:val="auto"/>
        </w:rPr>
      </w:pPr>
    </w:p>
    <w:p>
      <w:pPr>
        <w:ind w:left="720" w:right="51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evolution in the standard of care or changes in applicable governmental regulations or policies during the development of a product candidate that require amendments to ongoing clinical trials and/or the conduct of additional preclinical studies or clinical trials.</w:t>
      </w:r>
    </w:p>
    <w:p>
      <w:pPr>
        <w:spacing w:after="0" w:line="12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Many of the factors that cause, or lead to, a delay in the initiation or completion of clinical trials may also ultimately lead to the denial of regulatory approval or limit market acceptance of our product candidates. For example, we anticipate some of our future trials to, in part, utilize an open-label trial design, and our ongoing ONYX long-term extension study for apitegromab in patients from both the TOPAZ and SAPPHIRE trials utilizes an open-label trial design. An open-label trial is one where both the patient and investigator know whether the patient is receiving the test article or either an existing approved drug or placebo. Open-label trials are subject to various limitations that may exaggerate any therapeutic effect as patients in open-label studies are aware that they are receiving treatment. Open-label trials may be subject to a patient bias, for example, if patients perceive their symptoms to have improved merely due to their awareness of receiving an experimental treatment. Open-label trials also may be subject to an investigator bias where those assessing and reviewing the physiological outcomes of the clinical trials are aware of which patients have received treatment and may interpret the information of the treated group more favorably given this knowledge. The potential sources of bias in clinical trials as a result of open-label design may not be adequately mitigated and may cause any of our trials that utilize such design to fail and additional trials may be necessary to support future marketing applications. In addition, other types of trials (including randomized, double-blind, parallel arm studies), particularly if smaller in size or if limited to one study, are also subject to potential sources of bias and limitations that may exaggerate any therapeutic effect or falsely identify a positive efficacy signal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conversely, fail to detect an efficacy signal when in fact there may actually be a positive therapeutic effect.</w:t>
      </w:r>
    </w:p>
    <w:p>
      <w:pPr>
        <w:spacing w:after="0" w:line="15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could also shorten any periods during which we may have the exclusive right to commercialize our product candidates and may allow our competitors to bring products to market before we do, potentially impairing our ability to successfully commercialize our product candidates. Any delays in our clinical development programs may harm our business, financial condition and results of operations significantly.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strategy depends on the continued use and availability of certain third-party approved drug therapies.</w:t>
      </w:r>
    </w:p>
    <w:p>
      <w:pPr>
        <w:spacing w:after="0" w:line="13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Patients in ONYX, our long-term extension study for patients from both the TOPAZ and SAPPHIRE studies, and OPAL, our Phase 2 clinical trial of apitegromab in children under the age of two living with SMA, are receiving apitegromab in conjunction with an approved SMN targeted treatment. These patients are reliant on the continued use and availability of such treatments. If access to an approved SMN targeted treatment such as nusinersen or risdiplam becomes limited or is unavailable, we may be forced to pause or stop our ONYX or OPAL clinical trials, or the medical condition of patients may be affected which could negatively affect the efficacy and safety results for apitegromab in the trial or reduce the amount of data or confound the data from this trial. Any delay or suspension of our clinical trials would significantly delay our clinical development programs and harm our business, financial condition and results of operations.</w:t>
      </w:r>
    </w:p>
    <w:p>
      <w:pPr>
        <w:spacing w:after="0" w:line="147"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or success of preclinical studies and early-stage clinical trials of our product candidates may not be predictive of future results or replicated in later preclinical studies or clinical trials of our product candidates in the same indications or other indications.</w:t>
      </w:r>
    </w:p>
    <w:p>
      <w:pPr>
        <w:spacing w:after="0" w:line="134"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The results or success of preclinical studies and early-stage clinical trials of our product candidates may not be predictive of future results or replicated in later preclinical studies or later-stage clinical trials. Preclinical studies and early-stage clinical trials are primarily designed to study PK and PD, understand the side effects of product candidates, and evaluate various doses and dosing schedules. Our current or future product candidates may demonstrate different chemical, biological and pharmacological properties in patients than they do in laboratory studies or may interact with human biological systems in unforeseen or harmful ways. Product candidates in later-stages of clinical trials may fail to show desired pharmacological properties or produce positive safety and efficacy results despite having progressed through preclinical studies and early-stage clinical trials. Additionally, product candidates evaluated in one disease indication may interact in unforeseen or harmful ways in a patient population with a different disease indication than was previously studied. For example, apitegromab was evaluated in our Phase 3 SAPPHIRE clinical trial for the treatment of patients with Type 2 and Type 3 SMA and apitegromab was evaluated in our Phase 2 EMBRAZE proof-of-concept trial in combination with tirzepatide in obesity. Top-line data from each clinical trial have been released and apitegromab did not interact in any new ways despite the different patient population and disease indications studied in each trial. We cannot assure you that any future clinical trials of apitegromab, such as our Phase 2 FORGE clinical trial in patients with FSHD, or any of our other anti-myostatin antibodies will show positive results or interact in ways similar to when those antibodies were previously studied in different indications. There can be no assurance that any of our current or planned clinical trials will ultimately be successful or support further clinical development or registration of any of our product candidates.</w:t>
      </w:r>
    </w:p>
    <w:p>
      <w:pPr>
        <w:spacing w:after="0" w:line="146"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Interim, initial, or preliminary results from our clinical trials that we announce or publish from time to time may change (e.g., from positive safety or efficacy results to poor or negative safety or efficacy results) as more patient data become available and are subject to additional audit, validation and verification procedures that could result in material changes in the final data.</w:t>
      </w:r>
    </w:p>
    <w:p>
      <w:pPr>
        <w:spacing w:after="0" w:line="14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Any interim, initial or preliminary data or results from clinical trials, including interim top-line results and other results published from our clinical trials may materially change as more patient data become available. Preliminary, initial, interim or top-line results also remain subject to audit, validation and verification procedures that may result in the final data being materially different from the data we previously published. As a result, interim, initial or preliminary data may not be predictive of final results and should be viewed with caution until the final data are available. We may also arrive at different conclusions, or considerations may qualify such results, once we have received and fully evaluated additional data. Differences between preliminary, initial or interim data and final data could adversely affect our business.</w:t>
      </w:r>
    </w:p>
    <w:p>
      <w:pPr>
        <w:spacing w:after="0" w:line="14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late-stage clinical development even after achieving promising results in earlier studies, and we cannot be certain that we will not face similar setbacks. Many drugs have failed to replicate efficacy and safety results in larger or more complex later stage trials. Moreover, preclinical and clinical data are often susceptible to varying interpretations and analyses, and many companies that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believed their product candidates performed satisfactorily in preclinical studies and clinical trials nonetheless failed to obtain regulatory approval. If we fail to produce positive results in our ongoing and planned preclinical studies and clinical trials with apitegromab or SRK-439 or if a regulatory authority interprets and analyzes the results as not positive, the development timeline and regulatory approval and commercialization prospects for our product candidates, and, correspondingly, our business and financial prospects, may be materially adversely affected.</w:t>
      </w:r>
    </w:p>
    <w:p>
      <w:pPr>
        <w:spacing w:after="0" w:line="15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1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35"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trial sites;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 and any limitations on travel or access to trial sites;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7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therapies;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7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drop-out of the trials before completion of their involvement in the study.</w:t>
      </w:r>
    </w:p>
    <w:p>
      <w:pPr>
        <w:spacing w:after="0" w:line="10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For example, we are developing apitegromab for the treatment of people with FSHD, a rare disease, affecting an estimated 30,000 people in the U.S. and Europe. As a result, we may encounter difficulties enrolling patients in our clinical trials for apitegromab in FSHD due, in part, to the small size of this patient population.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Additionally, patients may opt out of participation in clinical trials in favor of treatment with FDA approved therapies, or therapies approved in the EU or other foreign jurisdictions.</w:t>
      </w:r>
    </w:p>
    <w:p>
      <w:pPr>
        <w:spacing w:after="0" w:line="167"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certain aspects of our preclinical studies. If these third parties do not successfully carry out their contractual duties or meet expected deadlines or comply with legal and regulatory requirements, we may be delayed or unable to receive regulatory approval of or commercialize apitegromab, SRK-439 or any future product candidates, and our business could be materially harmed.</w:t>
      </w:r>
    </w:p>
    <w:p>
      <w:pPr>
        <w:spacing w:after="0" w:line="15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depend upon third parties to conduct certain aspects of our preclinical studies and to conduct our clinical trials, under agreements with universities, medical institutions, CROs, strategic partners and others. We often have to negotiate budgets and contracts with such third parties, and if we are unsuccessful or if the negotiations take longer than anticipated, this could result in delays to our development timelines and increased costs.</w:t>
      </w:r>
    </w:p>
    <w:p>
      <w:pPr>
        <w:spacing w:after="0" w:line="13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rely especially heavily on third parties over the course of our clinical trials, and, as a result, have limited control over the clinical investigators and limited visibility into their day-to-day activities, including with respect to their individual employment policies or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Good Clinical Practice (“GCP”) requirements, which are regulations and guidelines enforced by the FDA and comparable foreign regulatory authorities for conducting, recording and reporting the results of clinical trials to assure that data and reported results are credible and accurate and that the rights, integrity and confidentiality of trial participants are protected.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We also are required to register certain ongoing clinical trials and post the results of completed clinical trials on a government-sponsored database, ClinicalTrials.gov, within specified timeframes. Failure to do so can result in civil monetary penalties, adverse publicity and civil and criminal sanctions. The FDA and National Institutes of Health have signaled the government’s willingness to begin enforcing these registration and reporting requirements against non-compliant clinical trial sponsors. As a result, our financial results and the commercial prospects for our product candidates would be harmed, our costs could increase and our ability to generate revenue could be delayed.</w:t>
      </w:r>
    </w:p>
    <w:p>
      <w:pPr>
        <w:spacing w:after="0" w:line="14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would delay the regulatory approval process. Moreover, our business may be implicated if any of these third parties violate federal or state fraud and abuse or false claims laws and regulations or healthcare privacy and security laws.</w:t>
      </w:r>
    </w:p>
    <w:p>
      <w:pPr>
        <w:spacing w:after="0" w:line="14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Any third parties conducting aspects of our preclinical studies or clinical trials will not be our employees and, except for remedies that may be available to us under our agreements with such third parties, we cannot control whether they devote sufficient time and resources to our preclinical studies and clinical trials. The third party CROs and clinical trial sites that conduct our clinical trials may experience staffing shortages and the inability of a CRO or clinical trial site to maintain appropriate levels of competent staffing to support the demands of our clinical trials could negatively impact the execution of our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our development timelines, including clinical development timelines, may be extended, delayed or terminated and we may not be able to complete development of, receive regulatory approval of or successfully commercialize our product candidates.</w:t>
      </w:r>
    </w:p>
    <w:p>
      <w:pPr>
        <w:spacing w:after="0" w:line="14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no assurance that we will not encounter similar challenges or delays in the future or that these delays or challenges will not have a material adverse impact on our business, financial condition and prospects.</w:t>
      </w:r>
    </w:p>
    <w:p>
      <w:pPr>
        <w:spacing w:after="0" w:line="131"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from the FDA for apitegromab for the treatment of SMA and the EC granted Orphan Medicinal Product designation to apitegromab for the treatment of SMA. We may seek Orphan Drug designation from regulatory authorities in other jurisdictions for apitegromab. We may not receive the requested designation or we may be unable to realize the benefits associated with Orphan Drug designation, including the potential for market exclusivity.</w:t>
      </w:r>
    </w:p>
    <w:p>
      <w:pPr>
        <w:spacing w:after="0" w:line="143"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have received Orphan Drug designation from the FDA for apitegromab for the treatment of SMA, and following the EMA’s Committee for Orphan Medicinal Products’ positive opinion, the EC designated apitegromab as an orphan medicinal product for the treatment of SMA. Even if we receive orphan drug exclusivity, the benefit of that exclusivity may be limited if we seek approval for an indication broader than the orphan-designated indication or could be revoked under certain circumstances, for example if the FDA later determines that the request for designation was materially defective or that we are unable to assure sufficient quantities of the product to meet the needs of patients with the rare disease or condition. Further, even if we receive orphan drug exclusivity for a product, that exclusivity may not effectively protect the product from competition during the exclusivity period because different drugs with different active moieties can be approved for the same condition, and the same product can be approved for different uses. Also, in the U.S., even after an orphan drug is approved and receives orphan drug exclusivity, the FDA may subsequently approve another drug for the same condition if the FDA concludes that the latter drug is not the same drug, including because it has been shown to be clinically superior to the drug with exclusivity because it is safer, more effective or makes a major contribution to patient care. In the EU, a marketing authorization may be granted to a similar medicinal product to an authorized orphan product for the same orphan indication if:</w:t>
      </w:r>
    </w:p>
    <w:p>
      <w:pPr>
        <w:spacing w:after="0" w:line="157" w:lineRule="exact"/>
        <w:rPr>
          <w:sz w:val="20"/>
          <w:szCs w:val="20"/>
          <w:color w:val="auto"/>
        </w:rPr>
      </w:pPr>
    </w:p>
    <w:p>
      <w:pPr>
        <w:ind w:left="720" w:right="4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 or</w:t>
      </w:r>
    </w:p>
    <w:p>
      <w:pPr>
        <w:spacing w:after="0" w:line="134"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orphan medicinal product consents to a second medicinal product application; or</w:t>
      </w:r>
    </w:p>
    <w:p>
      <w:pPr>
        <w:spacing w:after="0" w:line="121"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121"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See the sections of our Annual Report on Form 10-K for the year ended December 31, 2025 entitled, “Business — Government Regulation — US Biological Product Development — Orphan Drug Designation” and “Business – Government Regulation – European Union Drug Development — European Union Orphan Designation and Exclusivity.”</w:t>
      </w:r>
    </w:p>
    <w:p>
      <w:pPr>
        <w:spacing w:after="0" w:line="13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apitegromab for the treatment of SMA. However, a marketing application for apitegromab, if approved, may not meet the eligibility criteria for a rare pediatric disease priority review voucher.</w:t>
      </w:r>
    </w:p>
    <w:p>
      <w:pPr>
        <w:spacing w:after="0" w:line="13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received Rare Pediatric Disease designation for apitegromab for the treatment of SMA. Designation of a biologic as a product for a rare pediatric disease does not guarantee that a BLA for such biologic will meet the eligibility criteria for a rare pediatric disease priority review voucher at the time the application is approved. Pursuant to the Federal Food, Drug, and Cosmetic Act, in January 2025 we requested a rare pediatric disease priority review voucher in our BLA submission for apitegromab for the treatment of SMA and in March 2025 the FDA granted priority review of this BLA. The FDA may determine that the resubmitted BLA for apitegromab, if approved, does not meet the eligibility criteria for a rare pediatric disease priority review voucher, including for the following reasons: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 no longer meets the definition of a rare pediatric disease;</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apitegromab contains an active ingredient (including any ester or salt of the active ingredient) that has been previously approved in an application;</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or</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seeks approval for a different adult indication than the rare pediatric disease for which apitegromab is designated.</w:t>
      </w:r>
    </w:p>
    <w:p>
      <w:pPr>
        <w:spacing w:after="0" w:line="131"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from the FDA and PRIME designation from the EMA for apitegromab for the treatment of SMA. We may seek Fast Track designation or Breakthrough Therapy designation from the FDA or PRIME designation from the EMA for certain of our current and future product candidates, and we may not be successful in receiving such designations, or if received, such designation may not actually lead to a faster development or regulatory review or approval process.</w:t>
      </w:r>
    </w:p>
    <w:p>
      <w:pPr>
        <w:spacing w:after="0" w:line="14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may seek Fast Track designation, Breakthrough Therapy designation or PRIME designation for certain of our product candidates.</w:t>
      </w:r>
    </w:p>
    <w:p>
      <w:pPr>
        <w:spacing w:after="0" w:line="12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May 2021, the FDA granted Fast Track designation for apitegromab for the treatment of SMA. The FDA has broad discretion whether or not to grant this designation, so even if we believe a particular product candidate is eligible for this designation, we cannot assure that the FDA would decide to grant it. Although the FDA has granted Fast Track designation for apitegromab in SMA,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 See the sections of our Annual Report on Form 10-K for the year ended December 31, 2025 entitled, “</w:t>
      </w:r>
      <w:r>
        <w:rPr>
          <w:rFonts w:ascii="Times New Roman" w:cs="Times New Roman" w:eastAsia="Times New Roman" w:hAnsi="Times New Roman"/>
          <w:sz w:val="18"/>
          <w:szCs w:val="18"/>
          <w:i w:val="1"/>
          <w:iCs w:val="1"/>
          <w:color w:val="auto"/>
        </w:rPr>
        <w:t>Business — Government Regulation — US Biological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 Expedited Development and Review Programs.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March 2021, the EMA granted PRIME designation to apitegromab for the treatment of SMA. PRIME is a scheme provided by the EMA to enhance support for the development of medicines that target an unmet medical need. The receipt of PRIME designation for apitegromab for the treatment of SMA may not result in a faster development process, review or approval compared to products considered for approval under conventional regulatory agency procedures and does not assure ultimate approval by the EMA.</w:t>
      </w:r>
    </w:p>
    <w:p>
      <w:pPr>
        <w:spacing w:after="0" w:line="141" w:lineRule="exact"/>
        <w:rPr>
          <w:sz w:val="20"/>
          <w:szCs w:val="20"/>
          <w:color w:val="auto"/>
        </w:rPr>
      </w:pPr>
    </w:p>
    <w:p>
      <w:pPr>
        <w:ind w:left="60" w:right="239"/>
        <w:spacing w:after="0" w:line="315" w:lineRule="auto"/>
        <w:rPr>
          <w:sz w:val="20"/>
          <w:szCs w:val="20"/>
          <w:color w:val="auto"/>
        </w:rPr>
      </w:pPr>
      <w:r>
        <w:rPr>
          <w:rFonts w:ascii="Times New Roman" w:cs="Times New Roman" w:eastAsia="Times New Roman" w:hAnsi="Times New Roman"/>
          <w:sz w:val="17"/>
          <w:szCs w:val="17"/>
          <w:color w:val="auto"/>
        </w:rPr>
        <w:t>See the section of our Annual Report on Form 10-K for the year ended December 31, 2025 entitled, “</w:t>
      </w:r>
      <w:r>
        <w:rPr>
          <w:rFonts w:ascii="Times New Roman" w:cs="Times New Roman" w:eastAsia="Times New Roman" w:hAnsi="Times New Roman"/>
          <w:sz w:val="17"/>
          <w:szCs w:val="17"/>
          <w:i w:val="1"/>
          <w:iCs w:val="1"/>
          <w:color w:val="auto"/>
        </w:rPr>
        <w:t>Business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Regulation – European Union Drug Development — European Union Expedited Review and Development.</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Receiving and maintaining regulatory approval of apitegromab in one jurisdiction does not mean that we will be successful in receiving or maintaining regulatory approval of apitegromab in other jurisdictions.</w:t>
      </w:r>
    </w:p>
    <w:p>
      <w:pPr>
        <w:spacing w:after="0" w:line="11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Receiving and maintaining regulatory approval of apitegromab in one jurisdiction does not guarantee that we will be able to receive or maintain regulatory approval in any other jurisdiction, but a failure or delay in receiving regulatory approval in one jurisdiction may have a negative effect on the regulatory approval process in other jurisdictions. Even if the FDA grants marketing approval of apitegromab, the EC, the competent authorities of EU Member States or comparable regulatory authorities in foreign jurisdictions may not approve the manufacturing, marketing and promotion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of apitegromab in other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apitegromab must be approved for reimbursement before it can be approved for sale in that jurisdiction. In some cases, the price that we intend to charge for our products is also subject to approval.</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apitegromab with which we must comply prior to marketing in those jurisdictions. Receiving foreign regulatory approvals and compliance with foreign regulatory requirements could result in significant delays, difficulties and costs for us and could delay or prevent the introduction of apitegromab in certain countries. If we fail to comply with the regulatory requirements in international markets and/or receive applicable marketing approvals, our target market will be reduced and our ability to realize the full market potential of apitegromab will be harmed.</w:t>
      </w:r>
    </w:p>
    <w:p>
      <w:pPr>
        <w:spacing w:after="0" w:line="14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apitegromab, we will be subject to ongoing regulatory obligations and continued regulatory review, which may result in significant additional expense and we may be subject to penalties if we fail to comply with regulatory requirements or experience unanticipated problems with apitegromab.</w:t>
      </w:r>
    </w:p>
    <w:p>
      <w:pPr>
        <w:spacing w:after="0" w:line="134"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If apitegromab is approved, we will be subject to ongoing regulatory requirements, including requirements related to manufacturing, labeling, packaging, storage, advertising, promotion, sampling, record-keeping, import, export, conduct of post-marketing studies and submission of safety, efficacy and other post-marketing information. The safety and efficacy profile of apitegromab will continue to be closely monitored by the FDA and comparable foreign regulatory authorities. In addition, we will be subject to continued compliance with current Good Manufacturing Practice (“cGMP”) and GCP requirements for any clinical trials that we conduct post-approval.</w:t>
      </w:r>
    </w:p>
    <w:p>
      <w:pPr>
        <w:spacing w:after="0" w:line="1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EU and comparable foreign regulatory authority requirements, including ensuring that quality control and manufacturing procedures conform to cGMP regulations. As such, we and our contract manufacturers will be subject to periodic review and inspections to assess compliance with cGMP and adherence to commitments made in any BLA or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4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apitegromab may be subject to limitations on the approved uses for which the product may be marketed or contain requirements for potentially costly post-market testing, including Phase 4 clinical trials and surveillance to monitor the safety and efficacy of apitegromab.</w:t>
      </w:r>
    </w:p>
    <w:p>
      <w:pPr>
        <w:spacing w:after="0" w:line="13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apitegromab,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6" w:lineRule="exact"/>
        <w:rPr>
          <w:sz w:val="20"/>
          <w:szCs w:val="20"/>
          <w:color w:val="auto"/>
        </w:rPr>
      </w:pPr>
    </w:p>
    <w:p>
      <w:pPr>
        <w:ind w:left="720" w:right="3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apitegromab, withdrawal of apitegromab from the market or voluntary or mandatory product recalls;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clinical trials;</w:t>
      </w:r>
    </w:p>
    <w:p>
      <w:pPr>
        <w:spacing w:after="0" w:line="184"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apitegromab;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185"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Products may be promoted only for their approved indications and in a manner consistent with their FDA-approved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labeling. The FDA and other agencies actively enforce the laws and regulations prohibiting the promotion of unapproved uses and a company that is found to have improperly promoted unapproved uses may be subject to significant liability.</w:t>
      </w:r>
    </w:p>
    <w:p>
      <w:pPr>
        <w:spacing w:after="0" w:line="11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face enforcement action and our business may be harmed.</w:t>
      </w:r>
    </w:p>
    <w:p>
      <w:pPr>
        <w:spacing w:after="0" w:line="14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apitegromab receives marketing approval, it may fail to achieve the degree of market acceptance by physicians, patients, third-party payors and others in the medical community necessary for commercial success.</w:t>
      </w:r>
    </w:p>
    <w:p>
      <w:pPr>
        <w:spacing w:after="0" w:line="118"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If apitegromab receives marketing approval it may nonetheless fail to gain sufficient market acceptance by physicians, patients, third-party payors, and others in the medical community. There may be delays in getting apitegromab, if approved, on hospital or insurance formularies, or there may be limitations on coverage in the early stages of commercialization for newly approved drugs. If apitegromab is approved but fails to achieve market acceptance among hospitals, physicians, patients or health care payors, we will not be able to generate significant revenues and we may not become profitable, which would have a material adverse effect on our business, prospects, financial condition and results of operations. For example, doctors may deem it sufficient to treat patients with SMA with an SMN-targeted treatment such as nusinersen or risdiplam, and therefore will not be willing to utilize apitegromab in conjunction with such SMN-targeted treatment. The degree of market acceptance of apitegromab, if approved for commercial sale, will depend on a number of factors, including:</w:t>
      </w:r>
    </w:p>
    <w:p>
      <w:pPr>
        <w:spacing w:after="0" w:line="167"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apitegromab as demonstrated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apitegromab is approved;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scope and nature of the clinical data (and other forms of data)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apitegromab, if approved, for sale at competitive prices;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apitegromab as well as competitive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8" w:lineRule="exact"/>
        <w:rPr>
          <w:sz w:val="20"/>
          <w:szCs w:val="20"/>
          <w:color w:val="auto"/>
        </w:rPr>
      </w:pPr>
    </w:p>
    <w:p>
      <w:pPr>
        <w:ind w:left="60" w:right="319"/>
        <w:spacing w:after="0" w:line="3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or enter into agreements with third parties to sell and market apitegromab in the EU, we may not be successful in commercializing apitegromab if and when it is approved.</w:t>
      </w:r>
    </w:p>
    <w:p>
      <w:pPr>
        <w:spacing w:after="0" w:line="16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anticipate a decision from the EMA in mid-2026 and we have recently begun to build our sales or marketing infrastructure in Europe. We have limited experience in the sale, marketing or distribution of pharmaceutical products. To achieve commercial success for apitegromab, if approved, for which we retain sales and marketing responsibilities,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we must continue to develop a sales and marketing organization and/or outsource certain functions to third parties, including third party distributors.</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There are risks involved both with establishing our own sales and marketing capabilities and with entering into arrangements with third parties to perform these services.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apitegromab on our own in Europe include:</w:t>
      </w:r>
    </w:p>
    <w:p>
      <w:pPr>
        <w:spacing w:after="0" w:line="198"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adequate numbers of effective sales and marketing personnel;</w:t>
      </w:r>
    </w:p>
    <w:p>
      <w:pPr>
        <w:spacing w:after="0" w:line="184"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sales personnel to obtain access to physicians or educate adequate numbers of physicians on the benefits of prescribing apitegromab; and</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0" w:lineRule="exact"/>
        <w:rPr>
          <w:sz w:val="20"/>
          <w:szCs w:val="20"/>
          <w:color w:val="auto"/>
        </w:rPr>
      </w:pPr>
    </w:p>
    <w:p>
      <w:pPr>
        <w:spacing w:after="0" w:line="22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 or the profitability of these product revenue to us may be lower than if we were to market and sell apitegromab ourselves. In addition, we may not be successful in entering into arrangements with third parties to sell and market apitegromab or may be unable to do so on terms that are favorable to us. We may have little control over such third parties, and any of them may fail to devote the necessary resources and attention to sell and market apitegromab effectively. If we do not establish sales and marketing capabilities successfully, either on our own or in collaboration with third parties, we will not be successful in commercializing apitegromab.</w:t>
      </w:r>
    </w:p>
    <w:p>
      <w:pPr>
        <w:spacing w:after="0" w:line="144"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Competing therapies may exist or could emerge that adversely affect the amount of revenue we are able to generate from the sale of apitegromab, if approved, or any of our future product candidates, if successfully developed and approved.</w:t>
      </w:r>
    </w:p>
    <w:p>
      <w:pPr>
        <w:spacing w:after="0" w:line="134"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highly competitive. There are many public and private companies, universities, governmental agencies and other research organizations actively engaged in the research and development of products that may be similar to our product candidates or address similar markets. If we are successful in developing apitegromab, it is probable that the number of companies seeking to develop products and therapies similar to our products candidates or targeting similar indications will increase.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We expect competition in the indications we are pursuing will focus on efficacy, safety, convenience, availability, and price. The commercial opportunity for apitegromab, if approved, could be reduced or eliminated if our competitors develop and commercialize products that are perceived to be safer, more effective, have fewer or less severe side effects, are more convenient or are less expensive than apitegromab.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develop our product pipeline and receive regulatory approvals or commercialize these programs on a timely basis or at all, which would have an adverse effect on our business.</w:t>
      </w:r>
    </w:p>
    <w:p>
      <w:pPr>
        <w:spacing w:after="0" w:line="134" w:lineRule="exact"/>
        <w:rPr>
          <w:sz w:val="20"/>
          <w:szCs w:val="20"/>
          <w:color w:val="auto"/>
        </w:rPr>
      </w:pPr>
    </w:p>
    <w:p>
      <w:pPr>
        <w:ind w:left="60" w:right="379"/>
        <w:spacing w:after="0" w:line="289" w:lineRule="auto"/>
        <w:rPr>
          <w:sz w:val="20"/>
          <w:szCs w:val="20"/>
          <w:color w:val="auto"/>
        </w:rPr>
      </w:pPr>
      <w:r>
        <w:rPr>
          <w:rFonts w:ascii="Times New Roman" w:cs="Times New Roman" w:eastAsia="Times New Roman" w:hAnsi="Times New Roman"/>
          <w:sz w:val="17"/>
          <w:szCs w:val="17"/>
          <w:color w:val="auto"/>
        </w:rPr>
        <w:t>Before we can commence clinical trials for any product candidate, we must complete extensive preclinical studies that support our planned INDs in the U.S., or similar applications in other jurisdictions. We cannot be certain of the timely completion or outcome of our preclinical studies or of the timing of any planned IND submission to the FDA or similar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applications in other jurisdictions, and cannot predict if the FDA, EMA or other regulatory authorities will accept our proposed clinical programs or if the outcome of our preclinical studies will ultimately support the further development of our programs. As a result, we cannot be sure that we will be able to submit INDs or similar applications for the clinical development of our preclinical programs on the timelines we expect, if at all, and we cannot be sure that submission of INDs or similar applications will result in the FDA, the competent authorities and/or ethics committees in the EU Member States or other regulatory authorities allowing clinical trials to begin.</w:t>
      </w:r>
    </w:p>
    <w:p>
      <w:pPr>
        <w:spacing w:after="0" w:line="16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Conducting preclinical testing can be a lengthy, time-consuming and expensive process. The time required for such testing may vary substantially according to the type, complexity and novelty of the program, and can be several years or more per program. Delays associated with programs for which we are conducting preclinical testing and studies may cause us to incur additional operating expenses. We also may be affected by delays associated with the preclinical testing and studies of certain programs that are the responsibility of our collaborators or our potential future collaborators over which we have limited or no control. The commencement and rate of completion of preclinical studies for a product candidate may be delayed by many factors, including, for example, challenges in reaching consensus with regulatory agencies regarding the scope of the necessary preclinical study program and/or appropriate preclinical study designs.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85"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a limited number of third-party manufacturing and supply partners, our supply of research and development, preclinical and clinical development materials, and, if approved, commercial materials, may become limited or interrupted or may not be of satisfactory quantity or quality.</w:t>
      </w:r>
    </w:p>
    <w:p>
      <w:pPr>
        <w:spacing w:after="0" w:line="14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have limited experience manufacturing our product candidates on a commercial scale. We rely on a limited number of third-party contract manufacturers to manufacture all of our clinical trial product supplies and, if approved, all of our commercial product supplies, including all of our drug substance, fill-finish, labeling, and packaging. We do not own our own manufacturing facilities for producing any clinical trial or commercial product supplies. Our supply chain also depends on a limited number of suppliers for critical raw materials and components (including container closure systems), and any disruption, quality issue, or shortage could delay manufacturing or regulatory approvals. There can be no assurance that our preclinical, clinical development, and, if approved, commercial product supplies will not be limited or interrupted due to impacts to our third-party contract manufacturers. For example, we rely on a single source supplier for the drug substance and fill-finish manufacture of apitegromab, SRK-181 and SRK-439. We are advancing activities at a second US-based fill-finish facility to strengthen supply continuity and support potential future commercial demand of apitegromab. Our accepted BLA resubmission for apitegromab includes this second fill-finish facility. Any replacement of our current drug substance contract manufacturer or fill-finish contract manufacturer would require significant resources, lead time and expertise because there may be a limited number of qualified replacements. In addition, our ability to procure sufficient supplies for the development of apitegromab, SRK-181, SRK-439 or future product candidates could be impacted by factors outside of our control such as current macroeconomic and geopolitical events, the changing rates of inflation and interest rates and tariff policies. We have no direct control over our contract manufacturers’ ability to maintain adequate quality control, quality assurance and qualified personnel. Furthermore, all of our third-party contract manufacturers supply and/or manufacture materials or products for other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w:t>
      </w:r>
    </w:p>
    <w:p>
      <w:pPr>
        <w:spacing w:after="0" w:line="14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For example, in September 2025, we received a CRL from the FDA citing observations identified during an FDA inspection of a third-party fill-finish facility. This facility was issued a Form 483 by the FDA in July 2025 and the inspection classification of this facility is OAI. The observations were related to the facility and were not specific to apitegromab. In November 2025, we completed an in-person Type A meeting with the FDA that included participation of representatives from the third-party fill-finish facility. Also in November 2025, the third-party fill-finish facility received a Warning Letter from the FDA. The FDA has completed reinspection of this facility, and classification of the facility is anticipated to occur in accordance with the time periods set forth in FDA guidelines.</w:t>
      </w:r>
    </w:p>
    <w:p>
      <w:pPr>
        <w:spacing w:after="0" w:line="14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In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event that any of our manufacturers fails to comply with such requirements or to perform its obligations to us in relation to quality, timing or otherwise, or if our supply of components or other materials becomes limited or interrupted for other reasons, we may be forced to internalize certain activities or rapidly onboard alternative third-party manufacturing capacity,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the original manufacturer or require us to obtain a license from such manufacturer in order to have another third-party manufacture our product candidates. If we must change manufacturers for any reason, we may be required to qualify and validate a new manufacturer’s facilities, processes and quality systems for compliance with applicable regulatory requirements, including cGMP. We may also need to conduct manufacturing comparability studies to demonstrate that any new manufacturing process produces product consistent with specifications previously submitted to the FDA or other regulatory authorities. These activities could result in delays and increased costs and could negatively affect our ability to develop and commercialize our product candidates in a timely manner or within budget.</w:t>
      </w:r>
    </w:p>
    <w:p>
      <w:pPr>
        <w:spacing w:after="0" w:line="170"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We expect to continue to rely on third-party manufacturers for commercial supplies of drug substance, drug product, fill-finish, and packaged and labeled product for apitegromab, if we receive regulatory approval. We do not have long-term supply agreements in place with many of our contract manufacturers, and each batch for our product candidates is individually contracted through a purchase order governed by master service and quality agreements. If any of these manufacturers are unwilling to or unable to supply adequate quantities of product on acceptable terms or timelines, or are unable to comply with cGMP or other applicable requirements, we may be required to qualify and onboard alternative suppliers, which could result in delays to clinical development, regulatory submissions or approvals, or commercialization.</w:t>
      </w:r>
    </w:p>
    <w:p>
      <w:pPr>
        <w:spacing w:after="0" w:line="17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Failure to maintain compliance with cGMP can result in regulatory action against our third-party manufacturers, including FDA sanctions, which could disrupt our manufacturing and supply chain and lead to delays in our clinical development programs, regulatory submissions or approvals, or commercial supply, if approved. In addition, delays in securing or maintaining manufacturing capacity for drug substance, fill-finish, labeling and packaging, or failures by our contract manufacturers or suppliers to perform as required, could delay clinical trials, regulatory filings, or commercial launches, which could negatively affect our business.</w:t>
      </w:r>
    </w:p>
    <w:p>
      <w:pPr>
        <w:spacing w:after="0" w:line="183"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such as manufacturers, third-party logistics providers, specialty distributors, specialty pharmacies, and patient service providers, may subject us to risks and may cause us to undertake substantial obligations, including financial obligations.</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To conduct later-stage clinical trials and, if approved, produce commercial product, we will need to manufacture our product candidates in larger quantities and at appropriate quality standards. We rely on third-party contract manufacturers to scale our manufacturing processes for our clinical programs, and if approved, for commercial supply. We and our manufacturing partners may be unable to increase manufacturing capacity in a timely or cost-effective manner, and quality control issues may arise during process scale-up, technology transfer, or commercial production. If we, or any manufacturing partners, are unable to scale manufacturing of our product candidates in sufficient quantity or quality, development activities, clinical trials, regulatory submissions and approvals, or commercial launch and supply could be delayed, disrupted, or become infeasible, which could materially affect our business. In September 2025, we received a CRL from the FDA for the apitegromab BLA citing observations identified during an FDA inspection of a third-party fill-finish facility. The facility received a Form 483 in July 2025, the facility was classified as OAI and in November 2025 received a Warning Letter from the FDA. The observations were related to the facility and were not specific to apitegromab. The FDA has completed reinspection of this facility, and classification of this facility is anticipated to occur in accordance with the time periods set forth in FDA guidelines.</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reliance on third-party logistics providers, specialty distributors, specialty pharmacies, and patient services providers may subject us to risks that could impact the commercialization and patient access to apitegromab. If apitegromab is approved, we expect to use limited distribution agreements, which could concentrate supply with a small number of specialty pharmacies, increasing the risk of distribution disruptions, capacity constraints, and gaps in patient access if these partners fail to perform. Additionally, third parties manage high-touch patient support, reimbursement processing,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and copay assistance, and any failures in these areas could lead to delays in initiation of treatment, coverage denials, and financial barriers for patients. Additionally, challenges such as disruptions in logistics, product-handling or quality-control issues, cybersecurity or privacy incidents, licensing or other regulatory non-compliance, or delays in onboarding key distribution partners may arise and may cause us to undertake substantial obligations, including financial obligations. If we or our third-party distribution service providers fail to scale and manage commercial distribution operations efficiently, the launch, commercialization, or continued supply of apitegromab may be delayed or compromised, which could significantly harm our business, reputation, and financial results.</w:t>
      </w:r>
    </w:p>
    <w:p>
      <w:pPr>
        <w:spacing w:after="0" w:line="18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new regulatory activities and economic policies, high inflation and interest rates and the imposition of tariffs, other trade barriers and retaliatory countermeasures, any of which could have a material adverse effect on our business, financial condition and results of operations.</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U.S. and global markets have recently been experiencing volatility and disruption caused by economic uncertainty, including as a result of geopolitical instability, ongoing military conflicts, new regulatory activities and economic policies, and high inflation and interest rates. We are continuing to monitor global capital markets and assessing the potential impact of these factors on our business, including the impact on the supply chains we rely on for the manufacture of apitegromab, SRK-439, and any other current or future product candidates.</w:t>
      </w:r>
    </w:p>
    <w:p>
      <w:pPr>
        <w:spacing w:after="0" w:line="15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events described above, geopolitical tensions, or record inflation, it is impossible to predict the extent to which our operations will be impacted in the short and long term, or the ways in which such matters may impact our business. The extent and duration of such ongoing military conflicts, geopolitical tensions, record inflation and resulting market disruptions are impossible to predict but could be substantial. Any such disruptions may also magnify the impact of other risks we face.</w:t>
      </w:r>
    </w:p>
    <w:p>
      <w:pPr>
        <w:spacing w:after="0" w:line="14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in affected markets. While many of our supply chain and manufacturing activities occur within the U.S., we rely on globally sourced raw materials, components, and consumables. As a result, changes in trade policies, including the imposition of tariffs, export restrictions, or other geopolitical restrictions could result in increased costs or cause delays in the procurement of necessary materials or services. Any such disruptions in the global supply chain caused by macroeconomic events and conditions could adversely affect the development, testing and clinical trials of apitegromab, SRK-181, SRK-439, and any future product candidates, or it may be delayed or infeasible, and regulatory approval or commercial launch of any resulting product may be delayed or not obtained, which could significantly harm our business.</w:t>
      </w:r>
    </w:p>
    <w:p>
      <w:pPr>
        <w:spacing w:after="0" w:line="134"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grow our organization in certain areas, including our personnel, systems and relationships with third parties, in order to develop and potentially commercialize our product candidates, and we may experience difficulties in managing this growth.</w:t>
      </w:r>
    </w:p>
    <w:p>
      <w:pPr>
        <w:spacing w:after="0" w:line="14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As our clinical development plans and commercialization strategies continue to develop and expand, we expect we will need to hire additional managerial, clinical development, scientific, regulatory, commercial, and administrative personnel. Our ability to compete in the highly competitive biotechnology industry depends upon our ability to attract and retain highly qualified specialized personnel. As apitegromab approaches commercialization globally, we will also need to hire sales, marketing and other commercial personnel in the new markets we plan to enter. Future growth would impose significant added responsibilities on members of management, including:</w:t>
      </w:r>
    </w:p>
    <w:p>
      <w:pPr>
        <w:spacing w:after="0" w:line="147" w:lineRule="exact"/>
        <w:rPr>
          <w:sz w:val="20"/>
          <w:szCs w:val="20"/>
          <w:color w:val="auto"/>
        </w:rPr>
      </w:pPr>
    </w:p>
    <w:p>
      <w:pPr>
        <w:ind w:left="4420" w:right="2139" w:hanging="4019"/>
        <w:spacing w:after="0" w:line="783" w:lineRule="auto"/>
        <w:tabs>
          <w:tab w:leader="none" w:pos="7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efforts effectively, including the clinical and regulatory review process for apitegromab, SRK-439, and any future product candidates, while complying with our contractual obligations to contractors and other third parties;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7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apitegromab,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5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third parties, advisors and consultants to provide certain services, including CROs, contract manufacturers and companies focused on antibody development and discovery activities. There can be no assurance that the services of third parties,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preclinical studies and clinical trials may be extended, delayed or terminated, and we may not be able to receive, or may be substantially delayed in receiving, regulatory approval of apitegromab, SRK-181, SRK-439 or future product candidates or otherwise advance our business. There can be no assurance that we will be able to manage our existing consultants or find other competent outside contractors and consultants on economically reasonable terms, or at all.</w:t>
      </w:r>
    </w:p>
    <w:p>
      <w:pPr>
        <w:spacing w:after="0" w:line="15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scientific personnel in the future due to the intense competition for a limited number of qualified personnel in the biopharmaceutical space. In this highly competitive market, there may be increased costs to attract and retain qualified personnel. Many of the other pharmaceutical companies that we compete against for qualified personnel have greater financial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not able to offer competitive compensation or appealing opportunities for high quality candidates, we may not be able to attract or retain qualified candidates and personnel. If we are not able to effectively expand our organization by hiring new employees and expanding our groups of consultants and contractors, we may not be able to successfully implement the tasks necessary to further develop and commercialize apitegromab and, accordingly, may not achieve our research, development and commercialization goals.</w:t>
      </w:r>
    </w:p>
    <w:p>
      <w:pPr>
        <w:spacing w:after="0" w:line="151"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there may be changes in our executive or senior management team that may be disruptive to our business. If our teams fail to execute our plans and strategies, including as a result of executive transitions, our business, financial condition, and results of operations could be adversely affected.</w:t>
      </w:r>
    </w:p>
    <w:p>
      <w:pPr>
        <w:spacing w:after="0" w:line="145"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executives and highly skilled technical and managerial personnel are critical to our business. If we have transition in management, lose key personnel, or if we fail to recruit additional highly skilled personnel, our ability to further develop and potentially commercialize apitegromab, SRK-181 and SRK-439 and identify and develop new or next generation product candidates may be impaired.</w:t>
      </w:r>
    </w:p>
    <w:p>
      <w:pPr>
        <w:spacing w:after="0" w:line="140"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Our performance substantially depends on the performance of our management team. Any transition or loss of the services of any of our executives or highly skilled technical and managerial personnel could have a disruptive impact on our ability to implement our strategy and impede the achievement of our research, development and commercialization objectives. In addition, these transitions or departures could cause us to incur increased operating expenses, divert senior management resources in searching for replacements, or otherwise have a material adverse effect on our business, internal controls, financial condition and results of operations. Management transition inherently causes some loss of institutional knowledge, which can negatively affect strategy and operational execution during this phase. If we have additional changes to our executives or highly skilled technical and managerial personnel, we may be unable to successfully manage and grow our business, and our results of operations, execution of corporate goals, internal controls and financial condition could suffer as a result. The unplanned loss of the services of our executives or other personnel also could harm our reputation.</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contract research organizations, or other contractors or consultants, may fail or suffer security breaches, incidents or compromises.</w:t>
      </w:r>
    </w:p>
    <w:p>
      <w:pPr>
        <w:spacing w:after="0" w:line="13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have outsourced significant parts of our IT and business infrastructure to third-party providers, and we currently use these providers to perform business critical IT and business services for us. Despite the implementation of security measures, our computer systems, whether they are managed by us directly or by the third parties with whom we contract, and those of our existing and future CROs, and other contractors and consultants are vulnerable to damage from computer viruses and unauthorized access. While we have not experienced any such material system failure or security breach to date, if such an event were to occur and cause interruptions in our operations, it could result in a material disruption of our development programs and our business operations. Our increased reliance on personnel working from home may increase our cyber security risk, create data accessibility concerns, and make us more susceptible to workforce and communication disruptions, any of which could adversely impact our business operations or delay necessary interactions with local and federal regulators, ethics committees, manufacturing sites, research or clinical trial sites and other agencies and contractors. For example, the loss of preclinical or clinical data could result in delays in our regulatory approval efforts and significantly increase our costs to recover or reproduce the data. Likewise, we rely on third parties for the manufacture of apitegromab, SRK-181 and SRK-439 and to conduct preclinical studies and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apitegromab, SRK-181, SRK-439 and future product candidates could be delayed.</w:t>
      </w:r>
    </w:p>
    <w:p>
      <w:pPr>
        <w:spacing w:after="0" w:line="153"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As a company that uses IT systems, our systems may be subject to cyber-attacks, incidents or compromises. Due to the nature of some of these attacks, there is a risk that they may remain undetected for a period of time. While we have invested in the protection of data and information technology, our efforts may not prevent service interruptions or security breaches (e.g., ransomware attacks and social engineering attacks (phishing)). Like other companies in our industry, we, and our third-party vendors, have experienced threats and cybersecurity incidents relating to our information technology systems and infrastructure. We maintain cyber liability insurance; however, this insurance may not be sufficient to cover the financial, legal, business, or reputational losses, including regulatory fines, that may result from an interruption or breach of our systems.</w:t>
      </w:r>
    </w:p>
    <w:p>
      <w:pPr>
        <w:spacing w:after="0" w:line="147"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vendors and distributors may engage in misconduct or other improper activities, including noncompliance with regulatory standards and requirements.</w:t>
      </w:r>
    </w:p>
    <w:p>
      <w:pPr>
        <w:spacing w:after="0" w:line="13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and regulations of the FDA, EU Member States, EMA, MHRA and other similar foreign regulatory bodies; provide true, complete and accurate information to the FDA, EMA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receive FDA approval, EC approval or approval from other foreign regulatory bodies of apitegromab and begin commercializing that product in the U.S. or in such other jurisdictions,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any of which could adversely affect our ability to operate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3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Changes in statutes, regulations or the interpretation of existing statutes or regulations could impact our business in the future by requiring, for example: (i) changes to our manufacturing arrangements; (ii) additions or modifications to product labeling; (iii) the recall or discontinuation of our products; (iv) additional record-keeping requirements; or (v) changes to our pricing arrangements, or coverage of or reimbursement for our products. If any such changes were to be imposed, they could adversely affect the profitability and operation of our business. See the sections of our Annual Report on Form 10-K for the year ended December 31, 2025 entitled, “</w:t>
      </w:r>
      <w:r>
        <w:rPr>
          <w:rFonts w:ascii="Times New Roman" w:cs="Times New Roman" w:eastAsia="Times New Roman" w:hAnsi="Times New Roman"/>
          <w:sz w:val="18"/>
          <w:szCs w:val="18"/>
          <w:i w:val="1"/>
          <w:iCs w:val="1"/>
          <w:color w:val="auto"/>
        </w:rPr>
        <w:t>Business - Government Regulation - Current and Future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Legislation” and “Business - Government Regulation - Coverage and Reimbursement.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It is possible healthcare reform measures may be adopted in the future that may result in additional reductions in Medicare or other healthcare funding, more rigorous coverage criteria, or new payment methodologies or otherwise affect the prices we may obtain for any of our product candidates for which we may receive regulatory approval. Any reduction in reimbursement from Medicare or other government programs may result in a similar reduction in payments from commercial payors. We cannot predict the reform initiatives that may be adopted in the future or whether initiatives that have been adopted will be modified or invalidated. The continuing health care reform initiatives efforts of the government, insurance companies, managed care organizations and other payers of health care services to contain or reduce costs of health care may adversely affect the demand for any product candidates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5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addition, federal and state efforts to impose new restrictions on manufacturer and third-party patient assistance programs could limit the availability or scope of these support services. Any such restrictions could reduce patient access to our products, which may materially and adversely affect our sales, business, and financial condition. Furthermore, patient support programs continue to face increased scrutiny from enforcement authorities. It is possible that regulators could determine that certain aspects of our programs do not comply with applicable healthcare fraud and abuse laws, including by viewing certain support services as improper inducements. Any such determination could have a significant adverse impact on our business, including the imposition of civil, criminal, or administrative penalties, and, in severe cases, exclusion from participation in federal and state healthcare programs.</w:t>
      </w:r>
    </w:p>
    <w:p>
      <w:pPr>
        <w:spacing w:after="0" w:line="165" w:lineRule="exact"/>
        <w:rPr>
          <w:sz w:val="20"/>
          <w:szCs w:val="20"/>
          <w:color w:val="auto"/>
        </w:rPr>
      </w:pPr>
    </w:p>
    <w:p>
      <w:pPr>
        <w:ind w:left="60" w:right="79"/>
        <w:spacing w:after="0" w:line="217" w:lineRule="exact"/>
        <w:rPr>
          <w:sz w:val="20"/>
          <w:szCs w:val="20"/>
          <w:color w:val="auto"/>
        </w:rPr>
      </w:pPr>
      <w:r>
        <w:rPr>
          <w:rFonts w:ascii="Times New Roman" w:cs="Times New Roman" w:eastAsia="Times New Roman" w:hAnsi="Times New Roman"/>
          <w:sz w:val="18"/>
          <w:szCs w:val="18"/>
          <w:color w:val="auto"/>
        </w:rPr>
        <w:t>On April 1, 2025, the Bureau of Industry and Security of the U.S. Department of Commerce initiated a Section 232 investigation on Pharmaceuticals and Pharmaceutical Ingredients, whose scope includes, but is not limited to, finished drug products, medical countermeasures, active pharmaceutical ingredients, starting materials, and derivative products of those items. This Section 232 investigation could result in substantial tariffs on these and related items, which could negatively impact our costs of production and operating margins. On October 31, 2025, CMS issued its final rule for the calendar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Physician Fee Schedule (“BFSF Certification Final Rule”), which requires manufacturers to obtain certifications from their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vendors confirming that Bona Fide Service Fees (“BFSFs”) associated with Part B drug sales are not passed through, in whole or in part, to any client or customer, regardless of whether that entity takes title to the drug. Manufacturers must begin complying the BSFS Certification Final Rule beginning January 1, 2026. In addition to submitting these certifications to CMS, manufacturers must maintain detailed documentation supporting the reasonable assumptions used to calculate Average Sales Price (“ASP”), including the methodologies used to classify BFSFs for each contract. These new requirements may increase the risk that certain fees could be reclassified as price concessions, which would negatively affect a product’s ASP. Any such reclassification could reduce future reimbursement for our product(s) under Medicare Part B, which may materially and adversely impact our revenue.</w:t>
      </w:r>
    </w:p>
    <w:p>
      <w:pPr>
        <w:spacing w:after="0" w:line="16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legislative and regulatory efforts to implement reference pricing or most-favored-nation pricing models could impact our product revenues and materially harm our business.</w:t>
      </w:r>
    </w:p>
    <w:p>
      <w:pPr>
        <w:spacing w:after="0" w:line="118"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On May 12, 2025, President Trump issued an executive order calling on pharmaceutical manufacturers to voluntarily reduce the prices of medicines in the U.S. and directing the Secretary of HHS to communicate MFN price targets to pharmaceutical manufacturers to align prices with those in comparably developed nations and, in the event significant progress towards MFN pricing is not delivered, to propose rulemaking to impose MFN pricing.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Since the May 12, 2025 order, the Trump administration has continued to exert pressure on drug manufacturers to implement MFN pricing, including by suggesting that the administration may impose significant tariffs on pharmaceuticals if such manufacturers do not reach agreements to implement MFN pricing. Further, in November 2025, the CMS introduced the GENEROUS Model, a voluntary Medicaid payment initiative under which participating drug manufacturers may voluntarily offer supplemental rebates to participating state Medicaid programs that are intended to provide such Medicaid programs with an MFN price for the manufacturers’ products. Additionally, in December 2025, CMS announced proposals for new mandatory demonstration payment models through two proposed rules under its CMMI authority, GLOBE for Medicare Part B and GUARD for Medicare Part D. If finalized, these models would impose additional mandatory rebates on manufacturers of certain Medicare Part B and Medicare Part D drugs, for select Medicare populations intended to represent 25% of Medicare patients, if the Medicare prices for such products exceed those paid in economically comparable countries. Both the GLOBE and GUARD models have proposed seven-year testing periods, with the GLOBE model proposed to begin on October 1, 2026 and the GUARD model proposed to begin on January 1, 2027.</w:t>
      </w:r>
    </w:p>
    <w:p>
      <w:pPr>
        <w:spacing w:after="0" w:line="15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These reforms remain subject to change, potential legal challenges, or expansion through additional rulemaking or sub-regulatory guidance, creating uncertainty for our overall pricing strategy. It remains to be seen whether and how these drug pricing initiatives will apply to our product candidates, how they will affect the broader pharmaceutical industry, and whether similar reform measures may be adopted in the future.</w:t>
      </w:r>
    </w:p>
    <w:p>
      <w:pPr>
        <w:spacing w:after="0" w:line="13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received in the course of patient recruitment for clinical trials. See the section in our Annual Report on Form 10-K for the year ended December 31, 2025 entitled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Other Healthcare Laws.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47"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care privacy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34" w:lineRule="exact"/>
        <w:rPr>
          <w:sz w:val="20"/>
          <w:szCs w:val="20"/>
          <w:color w:val="auto"/>
        </w:rPr>
      </w:pPr>
    </w:p>
    <w:p>
      <w:pPr>
        <w:ind w:left="60" w:right="659"/>
        <w:spacing w:after="0" w:line="312" w:lineRule="auto"/>
        <w:rPr>
          <w:sz w:val="20"/>
          <w:szCs w:val="20"/>
          <w:color w:val="auto"/>
        </w:rPr>
      </w:pPr>
      <w:r>
        <w:rPr>
          <w:rFonts w:ascii="Times New Roman" w:cs="Times New Roman" w:eastAsia="Times New Roman" w:hAnsi="Times New Roman"/>
          <w:sz w:val="17"/>
          <w:szCs w:val="17"/>
          <w:color w:val="auto"/>
        </w:rPr>
        <w:t>We, our CROs, and any potential collaborators may be subject to strict and changing federal, state, and foreign data protection laws and regulations (i.e., laws and regulations that address privacy and data security) and policies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contractual obligations related to data privacy and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CROs and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as amended by the Health Information Technology for Economic and Clinical Health Act of 2009.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50"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54"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We have conducted clinical trials and are currently conducting ONYX, our long-term extension clinical trial of apitegromab and OPAL, our Phase 2 clinical trial of apitegromab in children under the age of two living with SMA, in the EEA and the UK, and may conduct future clinical trials in the EEA or the UK. We are therefore subject to European privacy laws, where we collect and use personal data including health related data, in connection with our clinical trials in the EAA, or the UK, including the EU General Data Protection Regulation (the “EU GDPR”), the UK General Data Protection Regulation (the “UK GDPR”) (collectively referred to as the “GDPR”), as well as other national data protection legislation in force in the relevant EEA Member States and the UK (including the UK Data Protection Act of 2018), which govern the collection, use, storage, disclosure, transfer, or other processing of personal data (including health data processed in the context of clinical trials) regarding individuals in the EEA and UK. The GDPR imposes a broad range of strict requirements on companies that process personal data, including requirements relating to having legal bases and conditions for processing personal data and transferring such personal data outside the EEA or the UK, including to the U.S., providing details to those individuals regarding the processing of their personal information and, when relevant, data transfer agreement or other transfer mechanism in place for transfer of personal data from Europe to the US, keeping personal information secure, having data processing agreements with third parties who process personal information, responding to individuals’ requests to exercise their rights in respect of their personal information, where required reporting security breaches involving personal data to the competent national data protection authority and affected individuals, where required, appointing data protection officers, where required conducting data protection impact assessments for high risk processing, and record-keeping. The GDPR imposes penalties in the event of non-compliance, including fines of up to 20.0 million Euros (17.5 million GBP for the UK)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w:t>
      </w:r>
    </w:p>
    <w:p>
      <w:pPr>
        <w:spacing w:after="0" w:line="20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GDPR also imposes strict rules on the transfers of personal data outside of the EEA or the UK to third countries, such as the US in certain circumstances, unless a derogation exists or a valid GDPR transfer mechanism (for example, the EC approved standard contractual clauses (“SCCs”) and the UK International Data Transfer Agreement/Addendum (“UK IDTA”)). Where relying on the SCCs or UK IDTA for data transfers, we may also be required to carry out transfer impact assessments to assess whether the recipient is subject to local laws which allow public authority access to personal data. The complexity and the additional contractual burden increases our overall risk exposure. There may be further divergence on international transfer safeguards in the future, including with regard to administrative burdens. Any inability to transfer personal data from the UK and EEA to the US (and other third countries) in compliance with data protection laws may adversely affect our operations and our business and financial position. The UK data protection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regime is independent from but currently still aligned with the EEA’s data protection regime. However, going forward, there will be increasing scope for divergence in application, interpretation and enforcement of the data protection law as between the UK and EEA. Although the UK is regarded as a third country under the EU GDPR, the EC has issued a decision recognizing the UK as providing adequate protection under the EU GDPR and, therefore, transfers of personal data originating in the EEA to the UK remain unrestricted. Similarly, the UK government has confirmed that personal data transfers from the UK to the EEA remain free flowing. However, the UK Data (Use and Access) Act 2025 now in force, may further differentiate the UK’s data protection regimes and could potentially impact the UK’s adequacy decision granted by the EC. The respective provisions and enforcement of the EU GDPR and UK GDPR may continue to diverge, creating additional regulatory challenges and uncertainty. This evolving regulatory landscape could increase legal risk, complexity and cost to our handling of personal data, and may require us to adapt our privacy and data security compliance programs to account for increasing legal and regulatory divergence between the UK and the EEA.</w:t>
      </w:r>
    </w:p>
    <w:p>
      <w:pPr>
        <w:spacing w:after="0" w:line="19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Further, EU Member States have adopted implementing national laws to implement the EU GDPR which may partially deviate from the EU GDPR and the competent authorities in the EU Member States may interpret EU GDPR obligations slightly differently from country to country, so that we do not expect to operate in a uniform legal landscape in the EU. Also, as it relates to processing and transfer of genetic data, the EU GDPR specifically allows national laws to impose additional and more specific requirements or restrictions, and European laws have historically differed quite substantially in this field, leading to additional uncertainty.</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GDPR increases our responsibility and liability in relation to personal data that we process where such processing is subject to the GDPR. While we’ve taken steps to comply with the GDPR, including as implemented by individual countries, we face uncertainty as to the exact interpretation of these requirements and we may be unsuccessful in implementing all measures required by data protection authorities or courts in interpretation of the law.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in the United States, many states in which we operate have laws that protect the privacy and security of sensitive and personal information. Certain state laws may be more stringent or broader in scope, or offer greater individual rights, with respect to sensitive and personal information than federal, international or other state laws, and such laws may differ from each other, which may complicate compliance efforts. Where state laws are more protective than HIPAA, we must comply with the state laws we are subject to, in addition to HIPAA. In certain cases, it may be necessary to modify our planned operations and procedures to comply with these more stringent state laws. Further, in some cases where we process sensitive and personal information of individuals from numerous states, we may find it necessary to comply with the most stringent state laws applicable to any of the information. For example, the CCPA creates comprehensive individual privacy rights for California consumers (as defined in the law) and places increased privacy and security obligations on entities handling personal data of consumers or households. While there are currently exceptions for protected health information that is subject to HIPAA and clinical trial regulations, as currently written, the CCPA, as amended by the California Privacy Rights Act, and other enacted or proposed comprehensive state consumer privacy legislation may impact our business activities. Furthermore, certain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We continue to monitor the impact that the state consumer privacy and protection laws, like the CCPA and the My Health My Data Act, may have on our business activities. See the section in our Annual Report on Form 10-K for the year ended December 31, 2025 entitled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 Government Regulation – European General Data Protection Regulation” and “</w:t>
      </w:r>
      <w:r>
        <w:rPr>
          <w:rFonts w:ascii="Times New Roman" w:cs="Times New Roman" w:eastAsia="Times New Roman" w:hAnsi="Times New Roman"/>
          <w:sz w:val="18"/>
          <w:szCs w:val="18"/>
          <w:i w:val="1"/>
          <w:iCs w:val="1"/>
          <w:color w:val="auto"/>
        </w:rPr>
        <w:t>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Healthcare and Privacy Laws.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05"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The potential use of new and evolving technologies, such as artificial intelligence, in our offerings to employees may result in additional spending and present risks and challenges that can impact our business including by posing security and other risks to our confidential information, proprietary information and personal information, and as a result we may be exposed to reputational harm, legal liability, and regulatory investigations and fines.</w:t>
      </w:r>
    </w:p>
    <w:p>
      <w:pPr>
        <w:spacing w:after="0" w:line="12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may build and integrate artificial intelligence into our offerings, and this innovation may present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for example where third-party data sources are used to train artificial intelligence models, or the output of artificial intelligence systems reproduce or incorporate third party intellectual property rights, in each case without the right to do so.</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the world’s first comprehensive AI law, entered into force on August 1, 2024, and most provisions of which will become effective on August 2, 2026. This legislation imposes tiered obligations on providers and deployers of artificial intelligence systems which are put onto the EU market, or where the output is intended for use in the EU market, depending on the risk classification of the AI system, and encourages providers and deployers of artificial intelligence systems to account for EU fundamental rights in their development and use of these systems. If we develop or use AI systems that are governed by the AI Act, it may necessitate ensuring higher standards of data quality, transparency, and human oversight, and if the AI systems are considered high risk, we would be required to implement substantive risk and quality management systems and post-market monitoring systems and adhere to specific and burdensome and costly ethical, accountability, and administrative requirements. Other jurisdictions, including the United States and UK, are also taking steps to regulate AI systems. The rapid evolution of artificial intelligence will require the application of significant resources to design, develop, test and maintain our service offerings to help ensure that artificial intelligence is implemented in accordance with applicable law and regulation and in a socially responsible, safe and ethical manner and to minimize any real or perceived unintended harmful impacts.</w:t>
      </w:r>
    </w:p>
    <w:p>
      <w:pPr>
        <w:spacing w:after="0" w:line="14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vendors may in turn incorporate artificial intelligence tools into their own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A risk of our proprietary intellectual property rights being compromised through the use of artificial intelligence could arise through third party vendors using our data to train their models and/or to generate output for other users of their systems. There is also a risk (as with any hosted service) of security incidents occurring that could lead to unauthorized access to our data. In the event that personal data (including special category data relating to patients) were to be compromised, we may also face action from regulators and affected data subjects, and damage to our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including certain U.S. and foreign anti-corruption, anti-money laundering, export control, sanctions, and other trade laws and regulations, could negatively impact or restrict our operations.</w:t>
      </w:r>
    </w:p>
    <w:p>
      <w:pPr>
        <w:spacing w:after="0" w:line="121"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If we further expand our operations outside of the U.S., we must dedicate additional resources to comply with numerous laws and regulations in each jurisdiction in which we plan to operate. 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1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33"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1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0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and as a result, may be subject to lengthy and expensive litigation and excessive damages and we may not have, or be able to obtain, sufficient capital to pay such amounts. We do not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1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0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apitegromab, SRK-181, SRK-439 and any of our future product candidates in clinical trials and will face an even greater risk if we commercialize any products, if approved.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4"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if approved; 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17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We may be unable to obtain, or may obtain on unfavorable terms, additional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laboratory operations are concentrated in one location, and we or the third parties upon whom we depend, including our clinical trial sites and the manufacturing facilities of our third-party contract manufacturers, may experience business interruptions and our business continuity and disaster recovery plans may not adequately protect us from a serious disaster, including earthquakes, outbreak of disease or other natural disasters.</w:t>
      </w:r>
    </w:p>
    <w:p>
      <w:pPr>
        <w:spacing w:after="0" w:line="12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office and laboratory facilities are located in Cambridge, Massachusetts. Any unplanned event, such as flood, fire, explosion, earthquake, extreme weather condition, medical epidemics, power shortage, telecommunication failure or other natural or manmade accidents or incidents that result in us being unable to fully utilize our facilities, the facilities at any clinical trial site,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apitegromab, SRK-181, SRK-439 and future product candidates or interruption of our business operations. If a natural disaster, outbreak of disease, power outage or other event occurred that prevented us from using all or a significant portion of our headquarters, that damaged critical infrastructure, such as our research facilities, our clinical trial sites or the manufacturing facilities of our third-party contract manufacturers, or that otherwise disrupted operations, it may be difficult or, in certain cases, impossible, for us to continue our business for a substantial period of time.</w:t>
      </w:r>
    </w:p>
    <w:p>
      <w:pPr>
        <w:spacing w:after="0" w:line="13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Global events, including global health concerns could also result in social, economic, and labor instability in the countries in which we operate or where the third parties with whom we engage, including our clinical trial sites and manufacturing facilities of our third-party contract manufacturers, operate. Unforeseen global events, such as increasing rates of inflation and interest and tariff policies,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35"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our facilities, we cannot assure you that the amounts of insurance will be sufficient to satisfy any damages and losses. If our facilities, the manufacturing facilities of our third-party contract manufacturers, or the sites where we conduct clinical trials or preclinical studies, are unable to operate because of an accident or incident or for any other reason, even for a short period of time, our research and development programs may be harmed. Any business interruption may have a material and adverse effect on our business, financial condition, results of operations and prospects.</w:t>
      </w:r>
    </w:p>
    <w:p>
      <w:pPr>
        <w:spacing w:after="0" w:line="136"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apitegromab, if approved, which could make it difficult for us to sell apitegromab profitably.</w:t>
      </w:r>
    </w:p>
    <w:p>
      <w:pPr>
        <w:spacing w:after="0" w:line="13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success of apitegromab, if approved, depends on the availability of coverage and adequate reimbursement from third-party payors. We cannot be sure that coverage and reimbursement will be available for, or accurately estimate the potential revenue from, apitegromab. See the sections in our Annual Report on Form 10-K for the year ended December 31, 2025 entitled “</w:t>
      </w:r>
      <w:r>
        <w:rPr>
          <w:rFonts w:ascii="Times New Roman" w:cs="Times New Roman" w:eastAsia="Times New Roman" w:hAnsi="Times New Roman"/>
          <w:sz w:val="18"/>
          <w:szCs w:val="18"/>
          <w:i w:val="1"/>
          <w:iCs w:val="1"/>
          <w:color w:val="auto"/>
        </w:rPr>
        <w:t>Business– Government Regulation – Coverage and Reimbursement” and “Business–Government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and Future Healthcare Reform Legislation.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or national payor bodies (such as in European countries), and commercial payors is critical to new product acceptance.</w:t>
      </w:r>
    </w:p>
    <w:p>
      <w:pPr>
        <w:spacing w:after="0" w:line="13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 party payors,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Coverage and reimbursement for products may vary widely from payor to payor, state-to-state (for example, state Medicaid coverage and reimbursement for products may be subject to varying degrees of coverage restrictions or delays) or across national payors from country to country.</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 Even if we obtain coverage for apitegromab,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apitegromab. Patients are unlikely to use apitegromab unless coverage is provided and reimbursement is adequate to cover a significant portion of the cost of apitegromab. There is significant uncertainty related to insurance coverage and reimbursement of newly approved products. It is difficult to predict at this time what third-party payors will decide with respect to the coverage and reimbursement for apitegromab.</w:t>
      </w:r>
    </w:p>
    <w:p>
      <w:pPr>
        <w:spacing w:after="0" w:line="16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Payment methodologies may be subject to changes in healthcare legislation and regulatory initiatives.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spacing w:after="0" w:line="13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apitegromab.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apitegromab due to the trend toward managed healthcare, the increasing influence of health maintenance organizations, cost containment initiatives and additional legislative changes.</w:t>
      </w:r>
    </w:p>
    <w:p>
      <w:pPr>
        <w:spacing w:after="0" w:line="150"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apitegromab in the EU Member States. Also, unfavorable pricing and reimbursement decisions in the EU could delay or limit commercialization of apitegromab, if approved, and materially adversely affect our business, financial condition and results of operations.</w:t>
      </w:r>
    </w:p>
    <w:p>
      <w:pPr>
        <w:spacing w:after="0" w:line="153" w:lineRule="exact"/>
        <w:rPr>
          <w:sz w:val="20"/>
          <w:szCs w:val="20"/>
          <w:color w:val="auto"/>
        </w:rPr>
      </w:pPr>
    </w:p>
    <w:p>
      <w:pPr>
        <w:ind w:left="60" w:right="519"/>
        <w:spacing w:after="0" w:line="289" w:lineRule="auto"/>
        <w:rPr>
          <w:sz w:val="20"/>
          <w:szCs w:val="20"/>
          <w:color w:val="auto"/>
        </w:rPr>
      </w:pPr>
      <w:r>
        <w:rPr>
          <w:rFonts w:ascii="Times New Roman" w:cs="Times New Roman" w:eastAsia="Times New Roman" w:hAnsi="Times New Roman"/>
          <w:sz w:val="17"/>
          <w:szCs w:val="17"/>
          <w:color w:val="auto"/>
        </w:rPr>
        <w:t>We intend to seek approval to market apitegromab in both the U.S. and in selected foreign jurisdictions. If we receive approval in one or more foreign jurisdictions for apitegromab we will be subject to rules and regulations in those jurisdictions. In some foreign countries, particularly those in the EU, the pricing of medicinal products is subject to</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governmental control and other market regulations which could put pressure on the pricing and usage of apitegromab. In these countries, pricing negotiations with governmental authorities can take considerable time after receiving marketing approval. In addition, market acceptance and sales of apitegromab will depend significantly on the availability of adequate coverage and reimbursement from third-party payors for apitegromab and may be affected by existing and future health care reform measures.</w:t>
      </w:r>
    </w:p>
    <w:p>
      <w:pPr>
        <w:spacing w:after="0" w:line="156"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Much like the federal Anti-Kickback Statute prohibition in the U.S.,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anti-inducement, advertising and anti-bribery laws of EU Member States, and in respect of the UK (which is no longer a member of the EU), the Bribery Act 2010. Infringement of these laws could result in substantial fines and imprisonment.</w:t>
      </w:r>
    </w:p>
    <w:p>
      <w:pPr>
        <w:spacing w:after="0" w:line="1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disclosed publicly.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Failure to comply with these requirements could result in reputational risk, public reprimands, administrative penalties, fines or imprisonment.</w:t>
      </w:r>
    </w:p>
    <w:p>
      <w:pPr>
        <w:spacing w:after="0" w:line="148"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Even if apitegromab or any of our future product candidates receive marketing authorization in the EU or UK, we may be unable to successfully commercialize such products in those markets if we are unable to secure pricing and reimbursement on terms that are commercially acceptable. In most foreign countries, including several EU Member States, marketing authorization is only the first step toward patient access and the proposed pricing for a drug must be approved before it may be lawfully marketed. The requirements governing drug pricing and reimbursement vary widely from country to country. For example, each EU Member State conducts its own health technology assessment (“HTA”), pricing negotiations, and reimbursement decision-making, potentially resulting in delays of 12-24 months or more (on average) between EC approval and commercial availability. EU Member States can also restrict the range of medicinal products for which their national health insurance systems provide reimbursement and to control the prices of medicinal products for human use. Payers in many European countries impose increasingly stringent clinical, pharmacoeconomic, and budget-impact requirements that may differ significantly from those considered by regulatory authorities during the marketing authorization process. As a result, European authorities may conclude that the benefit–risk profile, real-world evidence, or incremental clinical value of apitegromab, when used as an adjunct to SMN-targeted therapies, does not justify the price we seek.</w:t>
      </w:r>
    </w:p>
    <w:p>
      <w:pPr>
        <w:spacing w:after="0" w:line="17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December 2021, the Health Technology Assessment Regulation, Regulation (EU) 2021/2282, (“HTAR”) was adopted. The HTAR entered into force on January 11, 2022 and started to apply from January 12, 2025, with phased application depending on the category of health technology. Under the HTAR, EU Member States are required to use common HTA tools, methodologies, and procedures across the EU. Among others, the HTAR establishes an HTA coordination group, composed of national HTA bodies, which jointly conduct Joint Clinical Assessments (“JCAs”) of certain new medicines (including, in the initial phase, oncology medicines and advanced therapy medicinal products) and certain high-risk medical devices and provides for a single EU-level dossier submission for the purposes of JCAs. However, the HTAR focuses on the clinical aspects of HTA, i.e. the relative clinical effectiveness and relative clinical safety of a new health technology compared with relevant existing health technologies, and, as such, individual EU Member States remain responsible for determining the overall value of a new health technology within their healthcare systems, as well as making pricing and reimbursement decisions.</w:t>
      </w:r>
    </w:p>
    <w:p>
      <w:pPr>
        <w:spacing w:after="0" w:line="151"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Reference pricing used by various EU Member States and parallel distribution, or arbitrage between low-priced and high-priced Member States, can further reduce prices. Pricing negotiations in the EU are highly unpredictable and a Member State may approve a specific price for the medicinal product or it may instead adopt a system of direct or indirect controls on the profitability of the company placing the medicinal product on the market. In addition, regional decision-making, such as in Italy, Spain, and Germany, may lead to fragmented sub-national reimbursement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requirements, duplicative reviews, or further restrictions on access. In some countries, we may be required to conduct a clinical study or other studies that compare the cost-effectiveness of any of our product candidates to other available therapies in order to obtain or maintain reimbursement or pricing approval. Generating such data may require substantial investment and time and may delay reimbursement approval or lead to conditional or temporary reimbursement that could be revoked if post-authorization evidence does not meet the expectations of payers.</w:t>
      </w:r>
    </w:p>
    <w:p>
      <w:pPr>
        <w:spacing w:after="0" w:line="15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any country that has price controls or reimbursement limitations for pharmaceutical products will allow favorable reimbursement and pricing arrangements for apitegromab. Historically, products launched in the EU do not follow price structures of the U.S. and generally prices tend to be significantly lower and, in certain countries, below levels required for commercial viability. Publication of discounts by third-party payors or authorities may lead to further pressure on the prices or reimbursement levels within the country of publication and other countries. Moreover, any delays or negative outcomes in pricing or reimbursement negotiations in major markets such as Germany, France, Italy, Spain, or the UK could adversely influence decisions in other EU Member States due to cross-border reference pricing, or coordinated negotiation mechanisms that are increasingly being adopted across the EU. A low price, stringent reimbursement limitation, or reimbursement denial in one influential country may therefore have a cascading effect across multiple markets. In addition, if negotiated EU list prices become public, an unfavorable price published in one EU Member State could place pressure on pricing negotiations in other jurisdictions.</w:t>
      </w:r>
    </w:p>
    <w:p>
      <w:pPr>
        <w:spacing w:after="0" w:line="151"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If pricing is set at unsatisfactory levels or if reimbursement of apitegromab is unavailable or limited in scope or amount, our revenues from sales by us or our strategic partners and the potential profitability of apitegromab in those countries would be negatively affected. If we are unable to secure satisfactory pricing and reimbursement in the EU, or if the reimbursement landscape evolves in ways that impose additional uncertainty, delay, or financial burden, we may be unable to realize the full commercial potential of apitegromab or any future product candidate in these markets. Any of these events could materially adversely affect our business, prospects, financial condition and results of operations.</w:t>
      </w:r>
    </w:p>
    <w:p>
      <w:pPr>
        <w:spacing w:after="0" w:line="14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in the future with third parties, including for apitegromab, SRK-181, SRK-439 or potential product candidates. If we are unable to enter into such collaborations, or if these collaborations are not successful, our business could be adversely affected.</w:t>
      </w:r>
    </w:p>
    <w:p>
      <w:pPr>
        <w:spacing w:after="0" w:line="10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part of our strategy is to evaluate and, as deemed appropriate, enter into additional collaborations or partnerships in the future when strategically attractive, including potentially with biotechnology or pharmaceutical companies. We have limited capabilities for product development and only recently have begun to build our capabilities to prepare for potential commercialization. Accordingly, we may enter into collaborations with other companies to provide us with important technologies, capabilities and funding for our programs and underlying technology.</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future collaboration we enter into may pose a number of risks, including the following:</w:t>
      </w:r>
    </w:p>
    <w:p>
      <w:pPr>
        <w:spacing w:after="0" w:line="144" w:lineRule="exact"/>
        <w:rPr>
          <w:sz w:val="20"/>
          <w:szCs w:val="20"/>
          <w:color w:val="auto"/>
        </w:rPr>
      </w:pPr>
    </w:p>
    <w:p>
      <w:pPr>
        <w:ind w:left="720" w:right="73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or decision-making authority in determining the efforts and resources that they will apply to the collaboration or that we are required to apply to the collaboration;</w:t>
      </w:r>
    </w:p>
    <w:p>
      <w:pPr>
        <w:spacing w:after="0" w:line="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in a manner satisfactory to us;</w:t>
      </w:r>
    </w:p>
    <w:p>
      <w:pPr>
        <w:spacing w:after="0" w:line="15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commit to certain preclinical or clinical development or commercialization efforts as part of the collaboration that we are unable to meet or our collaborators may not be satisfied with our preclinical or clinical development or commercialization efforts;</w:t>
      </w:r>
    </w:p>
    <w:p>
      <w:pPr>
        <w:spacing w:after="0" w:line="94"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12"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12"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8"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80" w:lineRule="exact"/>
        <w:rPr>
          <w:rFonts w:ascii="Times New Roman" w:cs="Times New Roman" w:eastAsia="Times New Roman" w:hAnsi="Times New Roman"/>
          <w:sz w:val="18"/>
          <w:szCs w:val="18"/>
          <w:color w:val="auto"/>
        </w:rPr>
      </w:pPr>
    </w:p>
    <w:p>
      <w:pPr>
        <w:ind w:left="720" w:right="43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08"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2" w:lineRule="exact"/>
        <w:rPr>
          <w:rFonts w:ascii="Times New Roman" w:cs="Times New Roman" w:eastAsia="Times New Roman" w:hAnsi="Times New Roman"/>
          <w:sz w:val="18"/>
          <w:szCs w:val="18"/>
          <w:color w:val="auto"/>
        </w:rPr>
      </w:pPr>
    </w:p>
    <w:p>
      <w:pPr>
        <w:jc w:val="both"/>
        <w:ind w:left="720" w:right="39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94"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w:t>
      </w:r>
    </w:p>
    <w:p>
      <w:pPr>
        <w:spacing w:after="0" w:line="121"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may be blocked to advance the program due to collaborator patents that are not licensed to us; and</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3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If our future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our Annual Report on Form 10-K for the year ended December 31, 2025 also apply to the activities of potential therapeutic collaborators.</w:t>
      </w:r>
    </w:p>
    <w:p>
      <w:pPr>
        <w:spacing w:after="0" w:line="143"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biotechnology or pharmaceutical industry, including within the business and financial communities, could be adversely affected.</w:t>
      </w:r>
    </w:p>
    <w:p>
      <w:pPr>
        <w:spacing w:after="0" w:line="1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1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61"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Unforeseen global events, and sanctions or actions relating to such events, could affect our ability to file, prosecute, maintain, and/or defend patents and applications in those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51"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U.S. and/or in other foreign countries. Even if the patents do successfully issue, third parties may challenge the validity, enforceability or scope thereof, which may result in such patents being narrowed, invalidated or held unenforceable. For example, Russia issued a decree in March of 2022, stating that patent owners who reside in a country “unfriendly” to Russia are not entitled to compensation in the event of patent infringement. Furthermore, even if they are unchallenged, our patents and patent applications may not adequately protect our intellectual property and/or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4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67"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In addition, periodic maintenance fees on any issued patent are due to be paid to the U.S. Patent Office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Moreover, complications due to public health crises such as global pandemics may result in inadvertent lapse due to, for example, unexpected closures of the USPTO or foreign patent offices, delays in delivery of notifications relating to deadlines, or failure to timely and/or properly obtain signatures on necessary documents. Additionally, due to the ongoing conflict in Ukraine, there remain uncertainties as to any potential impact on patent protection and/or enforcement in the region, including, for example, payments to the Russian Patent Office and other entities. In such an event, our competitors might be able to enter the market, which would have a material adverse effect on our business.</w:t>
      </w:r>
    </w:p>
    <w:p>
      <w:pPr>
        <w:spacing w:after="0" w:line="155"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98"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2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21" w:lineRule="exact"/>
        <w:rPr>
          <w:rFonts w:ascii="Times New Roman" w:cs="Times New Roman" w:eastAsia="Times New Roman" w:hAnsi="Times New Roman"/>
          <w:sz w:val="18"/>
          <w:szCs w:val="18"/>
          <w:color w:val="auto"/>
        </w:rPr>
      </w:pPr>
    </w:p>
    <w:p>
      <w:pPr>
        <w:jc w:val="both"/>
        <w:ind w:left="720" w:right="1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U.S.;</w:t>
      </w:r>
    </w:p>
    <w:p>
      <w:pPr>
        <w:spacing w:after="0" w:line="134" w:lineRule="exact"/>
        <w:rPr>
          <w:rFonts w:ascii="Times New Roman" w:cs="Times New Roman" w:eastAsia="Times New Roman" w:hAnsi="Times New Roman"/>
          <w:sz w:val="18"/>
          <w:szCs w:val="18"/>
          <w:color w:val="auto"/>
        </w:rPr>
      </w:pPr>
    </w:p>
    <w:p>
      <w:pPr>
        <w:jc w:val="both"/>
        <w:ind w:left="720" w:right="23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5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4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98"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13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98"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 and/or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current patents covering our proprietary technologies and our product candidates are expected to expire beginning in 2034, without taking into account any possible patent term adjustments or extensions. Our earliest patents may expire before, or soon after, our first product achieves marketing approval in the U.S. or foreign jurisdictions. Upon the expiration of our current patents, we may lose the right to exclude others from practicing these inventions. The expiration of these patents could also have a material adverse effect on our business, results of operations, financial condition and prospects. We own pending patent applications covering our proprietary technologies or our product candidates that if issued as patents are expected to expire from 2034 through 2046, without taking into account any possible patent term adjustments or extensions. However, we cannot be assured that the USPTO or relevant foreign patent offices will grant any of these patent applications.</w:t>
      </w:r>
    </w:p>
    <w:p>
      <w:pPr>
        <w:spacing w:after="0" w:line="144"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Failure to comply with our obligations under any of these licenses or termination of any of these licenses could result in the loss of significant rights, which would harm our business.</w:t>
      </w:r>
    </w:p>
    <w:p>
      <w:pPr>
        <w:spacing w:after="0" w:line="13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including intellectual property rights licensed from others. We may be a party to license agreements pursuant to which we in-license key patents and patent applications for our product candidates. These licenses impose various diligence, milestone payment, royalty, insurance and other obligations on us. If we fail to comply with these obligations, our licensors may have the right to terminate the license. Any termination of licenses by third parties could result in our loss of significant intellectual property rights and could harm our ability to commercialize our product candidates.</w:t>
      </w:r>
    </w:p>
    <w:p>
      <w:pPr>
        <w:spacing w:after="0" w:line="16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13"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21"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84"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 and</w:t>
      </w:r>
    </w:p>
    <w:p>
      <w:pPr>
        <w:spacing w:after="0" w:line="18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2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1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additional proprietary rights held by third parties, the growth of our business may depend in part on our ability to acquire, in-license or use these proprietary rights.</w:t>
      </w:r>
    </w:p>
    <w:p>
      <w:pPr>
        <w:spacing w:after="0" w:line="135"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7"/>
          <w:szCs w:val="17"/>
          <w:color w:val="auto"/>
        </w:rPr>
        <w:t>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5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5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4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118"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3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In addition, recent or future patent reform legislation could increase the uncertainties and costs surrounding the prosecution of our patent applications and the enforcement or defense of our issued patents. Under the enacted Leahy-Smith America Invents Act (the “America Invents Act”), enacted in 2013, the U.S. moved from a “first to invent” to a “first to file” system. Under a “first to 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 to 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Recent U.S. Supreme Court rulings have also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As a consequence, issued patents may be found to contain invalid claims according to the newly revised eligibility and validity standards. Additionally,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4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the laws and regulations governing patents, or interpretation thereof, could change in unpredictable ways that would weaken our ability to obtain new patents, to maintain, or to enforce our existing patents and patents that we might obtain in the future. For example, in the case Amgen Inc. v. Sanofi, the Federal Circuit held that a well characterized antigen is insufficient to satisfy the written description requirement of certain claims directed to a genus of antibodies that are solely defined by function. While the validity of a subset of patents at issue was subsequently upheld by a district court jury, uncertainty remains as to the legal question pertaining to the written description requirement under 35 USC §112 as it relates to functional antibodies. In the case of Assoc. for Molecular Pathology v. Myriad Genetics, Inc., the U.S.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For example, Russia issued a decree in March of 2022, stating that patent owners who reside in a country “unfriendly” to Russia are not entitled to compensation in the event of patent infringement.</w:t>
      </w:r>
    </w:p>
    <w:p>
      <w:pPr>
        <w:spacing w:after="0" w:line="14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3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industries, as well as administrative proceedings for challenging patents, including interference, derivation, inter partes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6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21" w:lineRule="exact"/>
        <w:rPr>
          <w:sz w:val="20"/>
          <w:szCs w:val="20"/>
          <w:color w:val="auto"/>
        </w:rPr>
      </w:pPr>
    </w:p>
    <w:p>
      <w:pPr>
        <w:ind w:left="720" w:right="5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4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2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35" w:lineRule="exact"/>
        <w:rPr>
          <w:sz w:val="20"/>
          <w:szCs w:val="20"/>
          <w:color w:val="auto"/>
        </w:rPr>
      </w:pPr>
    </w:p>
    <w:p>
      <w:pPr>
        <w:jc w:val="both"/>
        <w:ind w:left="60" w:right="79"/>
        <w:spacing w:after="0" w:line="281"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2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U.S. is protected under the Safe Harbor exemption as set forth in 35 U.S.C. § 271. If and when apitegromab, SRK-181, or another one of our product candidates is approved by the FDA, that certain third-party may then seek to enforce its patent by filing a patent infringement lawsuit against us. While we are not aware of any claims of such a patent that could otherwise materially adversely affect commercialization of our product candidates, we may be incorrect in this belief, or we may not be able to prove it in a litigation. In this regard, patents issued in the U.S.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and/or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5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may also choose to challenge the patentability of claims in a third-party’s U.S. patent by requesting that the USPTO review the patent claims in an ex-parte re-exam, inter partes review or post-grant review proceedings. These proceedings are expensive and may consume our time or other resources. We may choose to challenge the grant of a third-party’s patent in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the Unitary Patent/Unified Patent Court system in Europe became fully operational in June 2023.</w:t>
      </w:r>
    </w:p>
    <w:p>
      <w:pPr>
        <w:spacing w:after="0" w:line="198" w:lineRule="exact"/>
        <w:rPr>
          <w:sz w:val="20"/>
          <w:szCs w:val="20"/>
          <w:color w:val="auto"/>
        </w:rPr>
      </w:pPr>
    </w:p>
    <w:p>
      <w:pPr>
        <w:ind w:left="720" w:right="2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court may be associated with greater degrees of uncertainty in litigation, with respect to both planning and outcome.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opt-out selection afforded during the transition may have a direct impact on future litigation and may result in loss of certain flexibility with regard to choice of forum and other litigation strategy considerations.</w:t>
      </w:r>
    </w:p>
    <w:p>
      <w:pPr>
        <w:spacing w:after="0" w:line="15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or the patents of our licensors, and we may be unable to protect our rights to our products and technology.</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against a third party(ies),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There is also the risk that, even if the validity of our patents or the patents of our licensors is upheld, the court will refuse to stop the third-party on the ground that such third-party’s activities do not infringe our owned or in-licensed patents.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54"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proceedings or developments. If securities analysts or investors perceive these results to be negative, it could have a substantial adverse effect on the price of our common stock.</w:t>
      </w:r>
    </w:p>
    <w:p>
      <w:pPr>
        <w:spacing w:after="0" w:line="13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some situations, we or our licensor, may not be able to detect infringement against our owned or in-licensed patents, as the case may be, which may be especially difficult for manufacturing processes or formulation patents. Even if we or our licensors detect infringement by a third-party of our owned or in-licensed patents, we or our licensors, as the case may be, may choose not to pursue litigation against or settlement with the third-party. If we, or our licensors,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third-party.</w:t>
      </w:r>
    </w:p>
    <w:p>
      <w:pPr>
        <w:spacing w:after="0" w:line="147"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18"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third-party can assert invalidity or unenforceability of a patent. Third parties may also raise similar claims before administrative bodies in the U.S. or abroad, even outside the context of litigation. Such mechanisms include inter parties review, ex parte re-examination, post-grant review, and equivalent proceedings in foreign jurisdictions (e.g., opposition proceedings). For example, EP3368069, EP2981822, EP3365368, and EP4358995 are currently subject to opposition proceedings. Such proceedings are expensive and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6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U.S. may be maintained in secrecy until the patents are issued, because patent applications in PCT member jurisdictions are typically not published until 18 months after the earliest filing, and because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compositions, methods of use,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4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For applications filed under pre-AIA, interference proceedings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Indeed, Russia issued a decree in March of 2022, stating that patent owners who reside in a country “unfriendly” to Russia are not entitled to compensation in the event of patent infringement.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products in jurisdictions where we do not have any issued patents and our patent claims or other intellectual property rights may not be effective or sufficient to prevent them from competing.</w:t>
      </w:r>
    </w:p>
    <w:p>
      <w:pPr>
        <w:spacing w:after="0" w:line="14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medical treatment,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another example, in Europe, a new unitary patent system became effective in June 2023, which may significantly impact European patents, including those granted before the introduction of such a system. Under the unitary patent system, European applications have the option, upon grant of a patent, of becoming a Unitary Patent which will be subject to the jurisdiction of the Unified Patent Court (“UPC”). As the UPC is a new court system, there is little precedent for the court, increasing the uncertainty of any litigation. Subject to current transitional provisions, European patents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57"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result in inadequate protection for our product candidates, and we may be unable to obtain patent term extensions and data exclusivity for our product candidates, resulting in material harm to our business.</w:t>
      </w:r>
    </w:p>
    <w:p>
      <w:pPr>
        <w:spacing w:after="0" w:line="11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w:t>
      </w:r>
    </w:p>
    <w:p>
      <w:pPr>
        <w:spacing w:after="0" w:line="13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 Waxman Amendments. The Hatch Waxman Amendments permit a patent extension term of up to five years as compensation for patent term lost during the FDA regulatory review process. The patent term restoration period is generally one-half of the time between the effective date of the IND or the date of patent grant (whichever is later) and the date of submission of the BLA, plus the time between the date of submission of the BLA and the date of FDA approval of the product. The patent holder must apply for restoration within 60 days of approval. A patent term extension cannot extend the remaining term of a patent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beyond a total of 14 years from the date of product approval, only one patent may be extended and only those claims covering the approved drug, a method for using it, or a method for manufacturing it may be extended.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6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the patents protecting our product candidates might expire before or shortly after such candidates are commercialized. If we are unable to obtain patent term extension or the term of any such extension is less than we request, our competitors may obtain approval of competing products following our patent expiration. As a result, our owned and licensed patent portfolio may not provide us with sufficient rights to exclude others from commercializing products similar or identical to ours, which could materially harm our business, financial condition, results of operations, and prospects.</w:t>
      </w:r>
    </w:p>
    <w:p>
      <w:pPr>
        <w:spacing w:after="0" w:line="143"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courts outside the U.S.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4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7"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disclosed, or misappropriated their confidential information or trade secrets.</w:t>
      </w:r>
    </w:p>
    <w:p>
      <w:pPr>
        <w:spacing w:after="0" w:line="13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6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9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every year since our inception and anticipate that we will continue to incur net losses in the future.</w:t>
      </w:r>
    </w:p>
    <w:p>
      <w:pPr>
        <w:spacing w:after="0" w:line="11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formed in 2012 and our operations to date have been focused on research and development of monoclonal antibodies that selectively inhibit activation of growth factors for therapeutic effect. We have not yet demonstrated the ability to progress any of our product candidates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have incurred losses in each period since our inception. For the three months ended March 31, 2026 and 2025, we reported a net loss of $105.5 million and $74.7 million, respectively. We have incurred losses since our inception, and as of March 31, 2026, we had an accumulated deficit of $1.4 billion. We expect to continue to incur significant losses for the foreseeable future, and we expect these losses to increase as we continue our research and development of, and seek regulatory approvals for, our product candidates, apitegromab, SRK-181, SRK-439, and any future product candidates and prepare for the commercialization of apitegromab, if approved.</w:t>
      </w:r>
    </w:p>
    <w:p>
      <w:pPr>
        <w:spacing w:after="0" w:line="15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or any current or potential future collaborators must develop and eventually commercialize products with significant market potential and favorable pricing. This will require us to be successful in a range of challenging activities, including completing preclinical studies and clinical trials, receiving marketing approval for product candidates, manufacturing, marketing and selling products for which we may receive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could decrease the value of our company and could impair our ability to raise capital, maintain our research and development efforts, expand our business or continue our operations.</w:t>
      </w:r>
    </w:p>
    <w:p>
      <w:pPr>
        <w:spacing w:after="0" w:line="80" w:lineRule="exact"/>
        <w:rPr>
          <w:sz w:val="20"/>
          <w:szCs w:val="20"/>
          <w:color w:val="auto"/>
        </w:rPr>
      </w:pPr>
    </w:p>
    <w:p>
      <w:pPr>
        <w:ind w:left="60" w:right="639"/>
        <w:spacing w:after="0" w:line="312" w:lineRule="auto"/>
        <w:rPr>
          <w:sz w:val="20"/>
          <w:szCs w:val="20"/>
          <w:color w:val="auto"/>
        </w:rPr>
      </w:pPr>
      <w:r>
        <w:rPr>
          <w:rFonts w:ascii="Times New Roman" w:cs="Times New Roman" w:eastAsia="Times New Roman" w:hAnsi="Times New Roman"/>
          <w:sz w:val="17"/>
          <w:szCs w:val="17"/>
          <w:color w:val="auto"/>
        </w:rPr>
        <w:t>Even if we succeed in commercializing one or more of our product candidates, we will continue to incur substantial research and development and other expenditures to develop and market additional product candidates. We may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6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capital, we will not be able to complete the development and commercialization of apitegromab, SRK-181, SRK-439 and any future product candidates.</w:t>
      </w:r>
    </w:p>
    <w:p>
      <w:pPr>
        <w:spacing w:after="0" w:line="6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of cash to conduct further research and development, including clinical trials for apitegromab and preclinical studies and clinical trials for SRK-439 and any future product candidates, to seek regulatory approvals for our product candidates and to launch and commercialize any products for which we receive regulatory approval. As of March 31, 2026, we had approximately $479.9 million in cash, cash equivalents and marketable securities. Based on our current operating model, we believe that our existing cash, cash equivalents and marketable securities as of March 31, 2026 will be sufficient to fund our operating expenses and capital expenditure requirements into 2027.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and any approved marketing and commercialization activities. Additionally, any program setbacks or delays due to changes in federal or state laws or clinical site or clinical vendor policies as a result of the impacts of current macroeconomic and geopolitical events, increasing rates of inflation, tariff policies and rising interest rates could impact our programs and increase our expenditures. Our future funding requirements, both near and long-term, will depend on many factors, including, but not limited to:</w:t>
      </w:r>
    </w:p>
    <w:p>
      <w:pPr>
        <w:spacing w:after="0" w:line="87" w:lineRule="exact"/>
        <w:rPr>
          <w:sz w:val="20"/>
          <w:szCs w:val="20"/>
          <w:color w:val="auto"/>
        </w:rPr>
      </w:pPr>
    </w:p>
    <w:p>
      <w:pPr>
        <w:ind w:left="720" w:right="5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completion, costs and results of clinical trials for our current and any future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identify and develop;</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strategic alliance, or licensing agreements we are currently party to or may choose to enter into in the future;</w:t>
      </w:r>
    </w:p>
    <w:p>
      <w:pPr>
        <w:spacing w:after="0" w:line="53"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EMA,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or our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developing research cell lines and development and completion of commercial scale outsourced manufacturing activities;</w:t>
      </w:r>
    </w:p>
    <w:p>
      <w:pPr>
        <w:spacing w:after="0" w:line="53"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pandemics or similar public health crises or macroeconomic conditions; and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54"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Until we can generate sufficient product or royalty revenue to finance our cash requirements, which we may never do, we expect to finance our future cash needs through a combination of public or private equity offerings, debt financings,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apitegromab, SRK-181, SRK-439 or any future product candidate at an earlier stage than otherwise would be desirable or relinquish our rights to product candidates or technologies that we otherwise would seek to develop or commercialize ourselves. If we are unable to raise additional capital in sufficient amounts or on terms acceptable to us, we may have to significantly delay, scale back or discontinue the development or commercialization of apitegromab, SRK-181, SRK-439 or one or more of our future product candidates or other research and development initiatives. Any of the above events could significantly harm our business, prospects, financial condition and results of operations and cause the price of our common stock to decline.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8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For example, the One Big Beautiful Bill Act (“OBBBA”) was signed into law on July 4, 2025 and made significant changes to U.S. federal tax law. Changes to tax laws (which changes may have retroactive application) could adversely affect us or holders of our common stock. For example, under Section 174 of the Internal Revenue Code of 1986, as amended (the “Code”), in taxable years beginning after December 31, 2021, expenses that are incurred for research and development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tax credit carryforwards may be subject to limitation.</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we had net operating loss carryforwards for U.S. federal and state income tax purposes of</w:t>
      </w:r>
    </w:p>
    <w:p>
      <w:pPr>
        <w:spacing w:after="0" w:line="27"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$921.9 million and $861.4 million, respectively, which begin to expire in 2032, except for our post 2017 U.S. federal net operating loss carryforwards of $871.4 million and $3.2 million of state net operating losses which do not expire. As of December 31, 2025, we also had available tax credit carryforwards for U.S. federal and state income tax purposes of $74.1 million and $10.4 million, respectively, which begin to expire in 2034 and 2032, respectively. Additionally, for taxable years beginning after December 31, 2017 the deductibility of the indefinite lived federal and state net operating losses is limited to 80% of our taxable income in any future taxable year. Under Section 382 of the Code, changes in our ownership may limit the amount of our net operating loss carryforwards and tax credit carryforwards that could be utilized annually to offset our future taxable income, if any. This limitation would generally apply in the event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cumulative change in ownership of our company of more than 50% within a three-year period. Any such limitation may significantly reduce our ability to utilize our net operating loss carryforwards and tax credit carryforwards before they expire. Private placements and other transactions that have occurred since our inception, as well as our IPO, may trigger such an ownership change pursuant to Section 382 of the Code. Any such limitation, whether as the result of our IPO, prior private placements, sales of our common stock by our existing stockholders or additional sales of our common stock by us, could have a material adverse effect on our results of operations in future years.</w:t>
      </w:r>
    </w:p>
    <w:p>
      <w:pPr>
        <w:spacing w:after="0" w:line="156"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34"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FDIC as receiver. Similarly, on March 12, 2023, Signature Bank and Silvergate Capital Corp. were each swept into receivership. Since then, additional financial institutions have experienced similar failures and have been placed into receivership.</w:t>
      </w:r>
    </w:p>
    <w:p>
      <w:pPr>
        <w:spacing w:after="0" w:line="14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6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54"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3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our existing debt facility; or</w:t>
      </w:r>
    </w:p>
    <w:p>
      <w:pPr>
        <w:spacing w:after="0" w:line="117"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the Company to maintain certain financial accounts at specific financial institutions.</w:t>
      </w:r>
    </w:p>
    <w:p>
      <w:pPr>
        <w:spacing w:after="0" w:line="54"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suppliers, which in turn, could have a material adverse effect on our current and/or projected business operations and results of operations and financial condition. For example,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47"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investment policy focuses on preservation of capital. However, we could recognize losses on securities held in our investment portfolio, particularly if interest rates increase or economic and market conditions deteriorate.</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March 31, 2026, the fair value of our cash, cash equivalents and investments in our marketable debt securities portfolio was approximately $479.9 million and consisted primarily of investments in money market funds and U.S. treasury obligations and government agency securities. Factors beyond our control can significantly influence the fair value of securities in our portfolio and can cause potential adverse changes to the fair value of these securities. For example, fixed-rate securities acquired by us are generally subject to decreases in market value when interest rates rise. Additional factors include, but are not limited to, rating agency downgrades of the securities or our own analysis of the value of the security, defaults by the issuer with respect to the underlying securities, and continued instability in the credit markets. Any of the foregoing factors could cause other-than-temporary impairment in future periods and result in realized losses. The process for determining whether impairment is other-than-temporary usually requires difficult, subjective judgments about the future financial performance of the issuer and any collateral underlying the security in order to assess the probability of receiving all contractual principal and interest payments on the security.</w:t>
      </w:r>
    </w:p>
    <w:p>
      <w:pPr>
        <w:spacing w:after="0" w:line="16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At March 31, 2026, we had $26,000 in net unrealized gains in our marketable securities available-for-sale portfolio, and unrealized losses in our securities portfolio may increase in the future due to the aforementioned economic factors. While our goal is to hold each security until maturity, that may not be possible in light of our policy to preserve capital and liquidity and because investment in securities with unrealized losses has a diminished utility as a source of liquidity prior to maturity. Selling securities with an unrealized loss would result in the realization of such losses, which could have an adverse effect on our financial condition and results of operations.</w:t>
      </w:r>
    </w:p>
    <w:p>
      <w:pPr>
        <w:spacing w:after="0" w:line="143" w:lineRule="exact"/>
        <w:rPr>
          <w:sz w:val="20"/>
          <w:szCs w:val="20"/>
          <w:color w:val="auto"/>
        </w:rPr>
      </w:pPr>
    </w:p>
    <w:p>
      <w:pPr>
        <w:ind w:left="60" w:right="3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terms of our loan agreements place restrictions on our operating and financial flexibility. If we raise additional capital through debt financing, the terms of any new debt could further restrict our ability to operate our business.</w:t>
      </w:r>
    </w:p>
    <w:p>
      <w:pPr>
        <w:spacing w:after="0" w:line="95"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On February 27, 2026, we terminated our Existing Loan Agreement with Oxford and entered into the 2026 Loan Agreement with certain funds managed by Blue Owl.</w:t>
      </w:r>
    </w:p>
    <w:p>
      <w:pPr>
        <w:spacing w:after="0" w:line="13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2026 Loan Agreement currently provides us with up to $350.0 million of borrowing capacity.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2026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4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If we default under the 2026 Loan Agreement, Blue Owl may accelerate all of our repayment obligations and exercise all of their rights and remedies under the 2026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Blue Owl could declare a default upon the occurrence of customary events of default, including payment defaults, breaches of certain affirmative or negative covenants, material contract terminations, and withdrawal events, subject in certain cases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grace periods, cure mechanics, exceptions and thresholds,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4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is volatile, and you could lose all or part of your investment.</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Similar to the trading prices of the common stock of other biopharmaceutical companies, the trading price of our common stock is subject to wide fluctuations in response to various factors, some of which are beyond our control, including limited trading volume. In addition to the factors discussed in this “Risk Factors” section and elsewhere in this Quarterly Report on Form 10-Q, these factors include:</w:t>
      </w:r>
    </w:p>
    <w:p>
      <w:pPr>
        <w:spacing w:after="0" w:line="153" w:lineRule="exact"/>
        <w:rPr>
          <w:sz w:val="20"/>
          <w:szCs w:val="20"/>
          <w:color w:val="auto"/>
        </w:rPr>
      </w:pPr>
    </w:p>
    <w:p>
      <w:pPr>
        <w:ind w:left="720" w:right="59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or partnerships, joint ventures or capital commitments by us, our collaborators or our competitors;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 or our cash position;</w:t>
      </w:r>
    </w:p>
    <w:p>
      <w:pPr>
        <w:spacing w:after="0" w:line="11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Furthermore, our ability to pay cash dividends is currently restricted by the terms of our debt facility with Blue Owl, and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5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members of our board of directors, management, and their affiliates, own a significant percentage of our stock and will be able to exert significant control over matters subject to stockholder approval.</w:t>
      </w:r>
    </w:p>
    <w:p>
      <w:pPr>
        <w:spacing w:after="0" w:line="11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As of March 31, 2026, our executive officers, directors and their affiliates beneficially hold, in the aggregate, approximately 8% of our outstanding voting stock. These stockholders, acting together, are able to significantly influence all matters requiring stockholder approval. For example, these stockholders are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4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 smaller reporting company as of January 1, 2026, which will increase our costs and demands on management.</w:t>
      </w:r>
    </w:p>
    <w:p>
      <w:pPr>
        <w:spacing w:after="0" w:line="15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Based on the market value of our common stock held by our non-affiliates as of June 30, 2025, we are no longer a smaller reporting company as of January 1, 2026, and are subject to additional disclosure and compliance requirements beginning with this Quarterly Report. Due to this transition, we have and expect to continue to devote significant time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and effort to implement and comply with the additional standards, rules and regulations that apply to us upon losing our smaller reporting company status. Compliance with the additional requirements also increase our legal, accounting and financial compliance costs.</w:t>
      </w:r>
    </w:p>
    <w:p>
      <w:pPr>
        <w:spacing w:after="0" w:line="1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As a smaller reporting company, we availed ourselves of the exemption from the requirement that our independent registered public accounting firm attest to the effectiveness of our internal control over financial reporting under Section 404 of the Sarbanes-Oxley Act of 2002. Upon losing our smaller reporting company status beginning with this Quarterly Report, we are no longer be able to rely on the scaled disclosure requirements and other accommodations available to smaller reporting companies. This will require us to provide additional disclosures in our periodic reports, including more detailed executive compensation disclosures and additional financial statement information. The transition from smaller reporting company status will require significant resources, including additional personnel, enhanced systems and processes, and increased professional fees for accounting, legal, and compliance services. We will need to implement more comprehensive internal controls and procedures to meet the heightened requirements applicable to larger public companies. Due to the complexity and logistical difficulty of implementing the standards, rules and regulations that apply to non-smaller reporting companies,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9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initiatives.</w:t>
      </w:r>
    </w:p>
    <w:p>
      <w:pPr>
        <w:spacing w:after="0" w:line="15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These rules and regulations have significantly increased our legal and financial compliance costs and we anticipate that these activities will become more time-consuming and costly over time now that we no longer qualify as an emerging growth company.</w:t>
      </w:r>
    </w:p>
    <w:p>
      <w:pPr>
        <w:spacing w:after="0" w:line="14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we will be required to furnish a report by our management on our internal control over financial reporting. Our independent registered public accounting firm will not be required to formally attest to the effectiveness of our internal control over financial reporting pursuant to Section 404 of the Sarbanes-Oxley Act until the date we report at least $100 million in annual revenues and have a public float of at least $75 million for the most recent fiscal year or have a public float of at least $700 million for the most recent fiscal year. To achieve compliance with Section 404 within the prescribed period, we are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to the trading price of our common stock in the financial markets due to a loss of confidence in the reliability of our financial statements.</w:t>
      </w:r>
    </w:p>
    <w:p>
      <w:pPr>
        <w:spacing w:after="0" w:line="153"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3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will be required to assess the effectiveness of these controls annually. However, if we were to ever regain status as a “smaller reporting company,” our independent registered public accounting firm would not be required to attest to the effectiveness of our internal controls over financial reporting pursuant to Section 404. We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44"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existing cash, cash equivalents and marketable securities and may not use them effectively.</w:t>
      </w:r>
    </w:p>
    <w:p>
      <w:pPr>
        <w:spacing w:after="0" w:line="11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existing cash, cash equivalents and marketable securities. Because of the number and variability of factors that will determine our use of our existing cash and cash equivalents, their ultimate use may vary substantially from their currently intended use. Our management might not apply our existing cash and cash equivalents in ways that ultimately increase the value of your investment. The failure by our management to apply these funds effectively could harm our business.</w:t>
      </w:r>
    </w:p>
    <w:p>
      <w:pPr>
        <w:spacing w:after="0" w:line="152"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34"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35" w:lineRule="exact"/>
        <w:rPr>
          <w:sz w:val="20"/>
          <w:szCs w:val="20"/>
          <w:color w:val="auto"/>
        </w:rPr>
      </w:pPr>
    </w:p>
    <w:p>
      <w:pPr>
        <w:ind w:left="720" w:right="9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 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 thirds of all outstanding shares of our voting stock to amend any bylaws by stockholder action or to amend specific provisions of our amended and restated certificate of incorporation; and</w:t>
      </w:r>
    </w:p>
    <w:p>
      <w:pPr>
        <w:spacing w:after="0" w:line="67"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68"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may prohibit certain business combinations with stockholders owning 15% or more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 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1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contain certain exclusive forum provisions requiring that substantially all disputes between us and our stockholders be resolved in certain judicial forums, which could limit our stockholders’ ability to obtain a favorable judicial forum for disputes with us or our directors, officers or employees.</w:t>
      </w:r>
    </w:p>
    <w:p>
      <w:pPr>
        <w:spacing w:after="0" w:line="134"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 xml:space="preserve">Our amended and restated bylaws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any action to interpret, apply, enforce, or determine the validity of our amended and restated certificate of incorporation or bylaws, or any action asserting a claim against us that is governed by the internal affairs doctrine. In addition, our amended and restated bylaws contain a provision by virtue of which, unless we consent in writing to the selection of an alternative forum, the U.S. District Court for the District of Massachusetts will be the exclusive forum for any complaint asserting a cause of action arising under the Securities Act. In addition, our amended and restated bylaws provide that any person or entity purchasing or otherwise acquiring any interest in shares of our common stock is deemed to have notice of and consented to the foregoing provisions, however, stockholders cannot and will not be deemed to have waived compliance with federal securities laws and the rules and regulations thereunder. We have chosen the U.S. District Court for the District of Massachusetts as the exclusive forum for such causes of action because our principal executive offices are located in Cambridge, Massachusetts. Some companies that have adopted similar federal district court forum selection provisions have had such provisions challenged in legal proceedings by stockholders. While the Delaware Supreme Court ruled in March 2020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xml:space="preserve"> that federal forum selection provisions purporting to require claims under the Securities Act be brought in federal court are “facially valid” under Delaware law, there is uncertainty as to whether other courts will enforce our federal forum selection provision, and we may incur additional costs of litigation should such enforceability be challenged. If the federal forum selection provision is otherwise found inapplicable to, or unenforceable in respect of, one or more of the specified actions or proceedings, we may incur additional costs, which could have an adverse effect on our business, financial condition or results of operations.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Additionally, the choice of forum provision may limit a stockholder’s ability to bring a claim in a judicial forum that it finds favorable for disputes with us or our directors, officers or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adversely affect our business and financial condition.</w:t>
      </w:r>
    </w:p>
    <w:p>
      <w:pPr>
        <w:spacing w:after="0" w:line="149"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March 31, 2026, approximately 250,000 shares of our common stock were reserved for issuance upon exercise of outstanding common stock purchase warrants. As of March 31, 2026, approximately 10,558,065 shares of our common stock were reserved for issuance upon exercise of pre-funded warrants, which are already included in our calculation of our weighted average common shares outstanding. Additionally, 12,893,685 shares of our common stock were reserved for issuance upon exercise of outstanding stock options, vested restricted stock units and vested performance stock units. The exercise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02"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The sales of a substantial number of the shares and/or the exercise and sale of a substantial number of the pre-funded warrants and common stock purchase warrants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The sale, or the availability for sale, of a large number of shares of our common stock in the public market could cause the price of our common stock to decline.</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or through, Jefferies may cause significant dilution and the sale of the shares of common stock acquired by Jefferies, or the perception that such sales may occur, could cause the price of our common stock to fall.</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November 14, 2022, we entered into a sales agreement with Jefferies, pursuant to which we may offer and sell our common stock, subject to certain limitations in the sales agreement and compliance with applicable law, at any time throughout the term of the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w:t>
      </w:r>
    </w:p>
    <w:p>
      <w:pPr>
        <w:spacing w:after="0" w:line="167"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From January 1, 2026 through March 31, 2026, we sold 2,576,299 shares of our common stock resulting in net proceeds to us of $111.8 million pursuant to the Jefferies sales agreement. Of this amount, $13.8 million was received in April 2026.</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00"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certain of our directors or officers (as defined in Rule 16a-1 (f)) adopted, modified, or terminated a “Rule 10b5-1 trading arrangement” or a “non-Rule 10b5-1 trading arrangement,” as each term is defined in Item 408(c) of Regulation S-K of the Exchange Act:</w:t>
      </w:r>
    </w:p>
    <w:p>
      <w:pPr>
        <w:spacing w:after="0" w:line="147"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5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and Title</w:t>
            </w:r>
          </w:p>
        </w:tc>
        <w:tc>
          <w:tcPr>
            <w:tcW w:w="2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Type of Trading</w:t>
            </w: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Action</w:t>
            </w:r>
          </w:p>
        </w:tc>
        <w:tc>
          <w:tcPr>
            <w:tcW w:w="10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Duration or End</w:t>
            </w:r>
          </w:p>
        </w:tc>
        <w:tc>
          <w:tcPr>
            <w:tcW w:w="1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15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Description of</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Taken</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of</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to be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Arrangement</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w:t>
            </w: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Sold</w:t>
            </w:r>
          </w:p>
        </w:tc>
        <w:tc>
          <w:tcPr>
            <w:tcW w:w="1500" w:type="dxa"/>
            <w:vAlign w:val="bottom"/>
            <w:tcBorders>
              <w:right w:val="single" w:sz="8" w:color="auto"/>
            </w:tcBorders>
          </w:tcPr>
          <w:p>
            <w:pPr>
              <w:spacing w:after="0"/>
              <w:rPr>
                <w:sz w:val="20"/>
                <w:szCs w:val="20"/>
                <w:color w:val="auto"/>
              </w:rPr>
            </w:pP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Jeffrey Flier,</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Trading plan intended to</w:t>
            </w:r>
          </w:p>
        </w:tc>
        <w:tc>
          <w:tcPr>
            <w:tcW w:w="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3,375 (1)</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Sale of the</w:t>
            </w: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Member</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satisfy the affirmative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defense conditions of</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31, 2026)</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Exchange Act</w:t>
            </w: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the</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10b5-1(c)</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terms of the plan</w:t>
            </w: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Kristina Burrow,</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Trading plan intended to</w:t>
            </w:r>
          </w:p>
        </w:tc>
        <w:tc>
          <w:tcPr>
            <w:tcW w:w="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3,053 (1)</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Sale of the</w:t>
            </w: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Member</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satisfy the affirmative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defense conditions of</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31, 2026)</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Exchange Act</w:t>
            </w: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the</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10b5-1(c)</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terms of the plan</w:t>
            </w: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Gilman,</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Trading plan intended to</w:t>
            </w:r>
          </w:p>
        </w:tc>
        <w:tc>
          <w:tcPr>
            <w:tcW w:w="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2,544 (1)</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Sale of the</w:t>
            </w: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Member</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satisfy the affirmative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defense conditions of</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31, 2026)</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Exchange Act</w:t>
            </w: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the</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10b5-1(c)</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terms of the plan</w:t>
            </w: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Joshua Reed,</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Trading plan intended to</w:t>
            </w:r>
          </w:p>
        </w:tc>
        <w:tc>
          <w:tcPr>
            <w:tcW w:w="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3,053 (1)</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Sale of the</w:t>
            </w: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Member</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satisfy the affirmative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defense conditions of</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21, 2026)</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Exchange Act</w:t>
            </w: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the</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10b5-1(c)</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terms of the plan</w:t>
            </w: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Katie Peng,</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Trading plan intended to</w:t>
            </w:r>
          </w:p>
        </w:tc>
        <w:tc>
          <w:tcPr>
            <w:tcW w:w="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February 26,</w:t>
            </w:r>
          </w:p>
        </w:tc>
        <w:tc>
          <w:tcPr>
            <w:tcW w:w="1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8,129 (1)</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Sale of the</w:t>
            </w: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Member</w:t>
            </w: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satisfy the affirmative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defense conditions of</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20, 2026)</w:t>
            </w: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Exchange Act</w:t>
            </w: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the</w:t>
            </w: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10b5-1(c)</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terms of the plan</w:t>
            </w:r>
          </w:p>
        </w:tc>
      </w:tr>
      <w:tr>
        <w:trPr>
          <w:trHeight w:val="176"/>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857"/>
        </w:trPr>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w w:val="99"/>
              </w:rPr>
              <w:t>82</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61"/>
        </w:trPr>
        <w:tc>
          <w:tcPr>
            <w:tcW w:w="1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during the quarter ended March 31, 2026.</w:t>
      </w:r>
    </w:p>
    <w:p>
      <w:pPr>
        <w:spacing w:after="0" w:line="135" w:lineRule="exact"/>
        <w:rPr>
          <w:sz w:val="20"/>
          <w:szCs w:val="20"/>
          <w:color w:val="auto"/>
        </w:rPr>
      </w:pPr>
    </w:p>
    <w:p>
      <w:pPr>
        <w:ind w:left="60" w:right="339" w:hanging="10"/>
        <w:spacing w:after="0" w:line="282"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provides for the sale of shares with the proceeds of the sale delivered to the member of the board of directors to satisfy tax obligations upon the vesting and settlement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INDEX</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 to:</w:t>
            </w:r>
          </w:p>
        </w:tc>
        <w:tc>
          <w:tcPr>
            <w:tcW w:w="0" w:type="dxa"/>
            <w:vAlign w:val="bottom"/>
          </w:tcPr>
          <w:p>
            <w:pPr>
              <w:spacing w:after="0"/>
              <w:rPr>
                <w:sz w:val="1"/>
                <w:szCs w:val="1"/>
                <w:color w:val="auto"/>
              </w:rPr>
            </w:pPr>
          </w:p>
        </w:tc>
      </w:tr>
      <w:tr>
        <w:trPr>
          <w:trHeight w:val="204"/>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17"/>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33"/>
        </w:trPr>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gridSpan w:val="21"/>
          </w:tcPr>
          <w:p>
            <w:pPr>
              <w:spacing w:after="0" w:line="18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Certificate of Incorporation of the</w:t>
              </w:r>
            </w:hyperlink>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333-224493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8, 2018</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EE"/>
            </w:tcBorders>
            <w:gridSpan w:val="19"/>
          </w:tcPr>
          <w:p>
            <w:pPr>
              <w:spacing w:after="0" w:line="169"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Registrant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to Amended and Restated Certificate of</w:t>
              </w:r>
            </w:hyperlink>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333-224493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May 14, 2018</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EE"/>
            </w:tcBorders>
            <w:gridSpan w:val="9"/>
          </w:tcPr>
          <w:p>
            <w:pPr>
              <w:spacing w:after="0" w:line="169"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Incorporation of the Registrant</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to Amended and Restated Certificate of</w:t>
              </w:r>
            </w:hyperlink>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001-38501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EE"/>
            </w:tcBorders>
            <w:gridSpan w:val="9"/>
          </w:tcPr>
          <w:p>
            <w:pPr>
              <w:spacing w:after="0" w:line="169"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Incorporation of the Registrant</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By-laws of the Registrant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333-224493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8, 2018</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4240" w:type="dxa"/>
            <w:vAlign w:val="bottom"/>
            <w:gridSpan w:val="21"/>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Financing Agreement by and among the Registrant,</w:t>
              </w:r>
            </w:hyperlink>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Scholar Rock, Inc., Scholar Rock U.S. Operations,</w:t>
              </w:r>
            </w:hyperlink>
          </w:p>
        </w:tc>
        <w:tc>
          <w:tcPr>
            <w:tcW w:w="300" w:type="dxa"/>
            <w:vAlign w:val="bottom"/>
            <w:tcBorders>
              <w:bottom w:val="single" w:sz="8" w:color="0000EE"/>
            </w:tcBorders>
            <w:gridSpan w:val="5"/>
          </w:tcPr>
          <w:p>
            <w:pPr>
              <w:spacing w:after="0" w:line="169" w:lineRule="exact"/>
              <w:rPr>
                <w:rFonts w:ascii="Times New Roman" w:cs="Times New Roman" w:eastAsia="Times New Roman" w:hAnsi="Times New Roman"/>
                <w:sz w:val="18"/>
                <w:szCs w:val="18"/>
                <w:color w:val="0000EE"/>
                <w:w w:val="87"/>
              </w:rPr>
            </w:pPr>
            <w:hyperlink r:id="rId97">
              <w:r>
                <w:rPr>
                  <w:rFonts w:ascii="Times New Roman" w:cs="Times New Roman" w:eastAsia="Times New Roman" w:hAnsi="Times New Roman"/>
                  <w:sz w:val="18"/>
                  <w:szCs w:val="18"/>
                  <w:color w:val="0000EE"/>
                  <w:w w:val="87"/>
                </w:rPr>
                <w:t>Inc.,</w:t>
              </w:r>
            </w:hyperlink>
          </w:p>
        </w:tc>
        <w:tc>
          <w:tcPr>
            <w:tcW w:w="220" w:type="dxa"/>
            <w:vAlign w:val="bottom"/>
            <w:gridSpan w:val="8"/>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gridSpan w:val="21"/>
          </w:tcPr>
          <w:p>
            <w:pPr>
              <w:spacing w:after="0" w:line="18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Scholar Rock Foreign Holdings, Inc., LSI Financing LLC</w:t>
              </w:r>
            </w:hyperlink>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and various lenders from time to time party hereto, dated</w:t>
              </w:r>
            </w:hyperlink>
          </w:p>
        </w:tc>
        <w:tc>
          <w:tcPr>
            <w:tcW w:w="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001-38501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2026</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3"/>
          </w:tcPr>
          <w:p>
            <w:pPr>
              <w:spacing w:after="0" w:line="169"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February 27, 2026.</w:t>
              </w:r>
            </w:hyperlink>
          </w:p>
        </w:tc>
        <w:tc>
          <w:tcPr>
            <w:tcW w:w="274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No. 6 to Scholar Rock Holding Corporation</w:t>
              </w:r>
            </w:hyperlink>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333-293995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99.9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3, 2026</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EE"/>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2022 Inducement Equity Plan, dated February 5, 2026.</w:t>
              </w:r>
            </w:hyperlink>
          </w:p>
        </w:tc>
        <w:tc>
          <w:tcPr>
            <w:tcW w:w="140" w:type="dxa"/>
            <w:vAlign w:val="bottom"/>
            <w:tcBorders>
              <w:top w:val="single" w:sz="8" w:color="0000EE"/>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EE"/>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Rule 13a-14(a) or Rule 15d-14(a) of the Securities</w:t>
            </w: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Exchange Act of 1934</w:t>
            </w:r>
          </w:p>
        </w:tc>
        <w:tc>
          <w:tcPr>
            <w:tcW w:w="2020" w:type="dxa"/>
            <w:vAlign w:val="bottom"/>
            <w:tcBorders>
              <w:top w:val="single" w:sz="8" w:color="0000EE"/>
            </w:tcBorders>
            <w:gridSpan w:val="3"/>
          </w:tcPr>
          <w:p>
            <w:pPr>
              <w:spacing w:after="0"/>
              <w:rPr>
                <w:sz w:val="15"/>
                <w:szCs w:val="15"/>
                <w:color w:val="auto"/>
              </w:rPr>
            </w:pPr>
          </w:p>
        </w:tc>
        <w:tc>
          <w:tcPr>
            <w:tcW w:w="30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Rule 13a-14(a) or Rule 15d-14(a) of the Securities</w:t>
            </w: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Exchange Act of 1934</w:t>
            </w:r>
          </w:p>
        </w:tc>
        <w:tc>
          <w:tcPr>
            <w:tcW w:w="2020" w:type="dxa"/>
            <w:vAlign w:val="bottom"/>
            <w:tcBorders>
              <w:top w:val="single" w:sz="8" w:color="0000EE"/>
            </w:tcBorders>
            <w:gridSpan w:val="3"/>
          </w:tcPr>
          <w:p>
            <w:pPr>
              <w:spacing w:after="0"/>
              <w:rPr>
                <w:sz w:val="15"/>
                <w:szCs w:val="15"/>
                <w:color w:val="auto"/>
              </w:rPr>
            </w:pPr>
          </w:p>
        </w:tc>
        <w:tc>
          <w:tcPr>
            <w:tcW w:w="40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and Principal</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EE"/>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Financial Officer Pursuant to 18 U.S.C. Section 1350, as</w:t>
            </w:r>
          </w:p>
        </w:tc>
        <w:tc>
          <w:tcPr>
            <w:tcW w:w="10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Adopted Pursuant to Section 906 of the Sarbanes-Oxley</w:t>
            </w:r>
          </w:p>
        </w:tc>
        <w:tc>
          <w:tcPr>
            <w:tcW w:w="160" w:type="dxa"/>
            <w:vAlign w:val="bottom"/>
            <w:gridSpan w:val="6"/>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EE"/>
              </w:rPr>
              <w:t>Act of 2002</w:t>
            </w:r>
          </w:p>
        </w:tc>
        <w:tc>
          <w:tcPr>
            <w:tcW w:w="200" w:type="dxa"/>
            <w:vAlign w:val="bottom"/>
            <w:gridSpan w:val="7"/>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38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8"/>
                <w:szCs w:val="18"/>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8"/>
                <w:szCs w:val="18"/>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8"/>
                <w:szCs w:val="18"/>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60" w:right="3939" w:hanging="983"/>
        <w:spacing w:after="0" w:line="24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93980</wp:posOffset>
            </wp:positionV>
            <wp:extent cx="1414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8" w:lineRule="exact"/>
        <w:rPr>
          <w:sz w:val="20"/>
          <w:szCs w:val="20"/>
          <w:color w:val="auto"/>
        </w:rPr>
      </w:pPr>
    </w:p>
    <w:p>
      <w:pPr>
        <w:ind w:left="460" w:hanging="37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37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60" w:hanging="37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were omitted in accordance with the rules of the Securities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460" w:hanging="37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SCHOLAR ROCK HOLDING CORPORATION</w:t>
      </w: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3780" w:val="left"/>
          <w:tab w:leader="none" w:pos="42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34290</wp:posOffset>
            </wp:positionV>
            <wp:extent cx="29749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David Hallal</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80"/>
        <w:spacing w:after="0"/>
        <w:tabs>
          <w:tab w:leader="none" w:pos="3780" w:val="left"/>
          <w:tab w:leader="none" w:pos="42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34290</wp:posOffset>
            </wp:positionV>
            <wp:extent cx="29749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974975" cy="8890"/>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Vikas Sinha</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David Hallal, certify that:</w:t>
      </w:r>
    </w:p>
    <w:p>
      <w:pPr>
        <w:spacing w:after="0" w:line="216" w:lineRule="exact"/>
        <w:rPr>
          <w:sz w:val="20"/>
          <w:szCs w:val="20"/>
          <w:color w:val="auto"/>
        </w:rPr>
      </w:pPr>
    </w:p>
    <w:p>
      <w:pPr>
        <w:ind w:left="660" w:hanging="650"/>
        <w:spacing w:after="0"/>
        <w:tabs>
          <w:tab w:leader="none" w:pos="660"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have reviewed this Quarterly Report on Form 10-Q of Scholar Rock Holding Corporation;</w:t>
      </w:r>
    </w:p>
    <w:p>
      <w:pPr>
        <w:spacing w:after="0" w:line="215" w:lineRule="exact"/>
        <w:rPr>
          <w:rFonts w:ascii="Times New Roman" w:cs="Times New Roman" w:eastAsia="Times New Roman" w:hAnsi="Times New Roman"/>
          <w:sz w:val="20"/>
          <w:szCs w:val="20"/>
          <w:color w:val="010000"/>
        </w:rPr>
      </w:pPr>
    </w:p>
    <w:p>
      <w:pPr>
        <w:jc w:val="both"/>
        <w:ind w:left="660" w:right="200" w:hanging="650"/>
        <w:spacing w:after="0" w:line="254" w:lineRule="auto"/>
        <w:tabs>
          <w:tab w:leader="none" w:pos="65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010000"/>
        </w:rPr>
      </w:pPr>
    </w:p>
    <w:p>
      <w:pPr>
        <w:ind w:left="660" w:right="160" w:hanging="650"/>
        <w:spacing w:after="0" w:line="254" w:lineRule="auto"/>
        <w:tabs>
          <w:tab w:leader="none" w:pos="65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010000"/>
        </w:rPr>
      </w:pPr>
    </w:p>
    <w:p>
      <w:pPr>
        <w:ind w:left="660" w:right="80" w:hanging="650"/>
        <w:spacing w:after="0" w:line="254" w:lineRule="auto"/>
        <w:tabs>
          <w:tab w:leader="none" w:pos="65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010000"/>
        </w:rPr>
      </w:pPr>
    </w:p>
    <w:p>
      <w:pPr>
        <w:ind w:left="1300" w:right="180" w:hanging="642"/>
        <w:spacing w:after="0" w:line="249" w:lineRule="auto"/>
        <w:tabs>
          <w:tab w:leader="none" w:pos="1300"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010000"/>
        </w:rPr>
      </w:pPr>
    </w:p>
    <w:p>
      <w:pPr>
        <w:ind w:left="1300" w:right="140" w:hanging="642"/>
        <w:spacing w:after="0" w:line="249" w:lineRule="auto"/>
        <w:tabs>
          <w:tab w:leader="none" w:pos="1311"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010000"/>
        </w:rPr>
      </w:pPr>
    </w:p>
    <w:p>
      <w:pPr>
        <w:jc w:val="both"/>
        <w:ind w:left="1300" w:hanging="642"/>
        <w:spacing w:after="0" w:line="254" w:lineRule="auto"/>
        <w:tabs>
          <w:tab w:leader="none" w:pos="1300"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010000"/>
        </w:rPr>
      </w:pPr>
    </w:p>
    <w:p>
      <w:pPr>
        <w:ind w:left="1300" w:right="260" w:hanging="642"/>
        <w:spacing w:after="0" w:line="249" w:lineRule="auto"/>
        <w:tabs>
          <w:tab w:leader="none" w:pos="1311"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010000"/>
        </w:rPr>
      </w:pPr>
    </w:p>
    <w:p>
      <w:pPr>
        <w:ind w:left="660" w:right="20" w:hanging="650"/>
        <w:spacing w:after="0" w:line="254" w:lineRule="auto"/>
        <w:tabs>
          <w:tab w:leader="none" w:pos="65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010000"/>
        </w:rPr>
      </w:pPr>
    </w:p>
    <w:p>
      <w:pPr>
        <w:ind w:left="1300" w:right="100" w:hanging="642"/>
        <w:spacing w:after="0" w:line="254" w:lineRule="auto"/>
        <w:tabs>
          <w:tab w:leader="none" w:pos="1300"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010000"/>
        </w:rPr>
      </w:pPr>
    </w:p>
    <w:p>
      <w:pPr>
        <w:ind w:left="1300" w:right="40" w:hanging="642"/>
        <w:spacing w:after="0" w:line="269" w:lineRule="auto"/>
        <w:tabs>
          <w:tab w:leader="none" w:pos="1301"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May 7, 2026</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Hallal</w:t>
            </w:r>
          </w:p>
        </w:tc>
      </w:tr>
      <w:tr>
        <w:trPr>
          <w:trHeight w:val="200"/>
        </w:trPr>
        <w:tc>
          <w:tcPr>
            <w:tcW w:w="5140" w:type="dxa"/>
            <w:vAlign w:val="bottom"/>
          </w:tcPr>
          <w:p>
            <w:pPr>
              <w:spacing w:after="0"/>
              <w:rPr>
                <w:sz w:val="17"/>
                <w:szCs w:val="17"/>
                <w:color w:val="auto"/>
              </w:rPr>
            </w:pPr>
          </w:p>
        </w:tc>
        <w:tc>
          <w:tcPr>
            <w:tcW w:w="5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David Hallal</w:t>
            </w:r>
          </w:p>
        </w:tc>
      </w:tr>
      <w:tr>
        <w:trPr>
          <w:trHeight w:val="229"/>
        </w:trPr>
        <w:tc>
          <w:tcPr>
            <w:tcW w:w="51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8"/>
        </w:trPr>
        <w:tc>
          <w:tcPr>
            <w:tcW w:w="5140" w:type="dxa"/>
            <w:vAlign w:val="bottom"/>
          </w:tcPr>
          <w:p>
            <w:pPr>
              <w:spacing w:after="0"/>
              <w:rPr>
                <w:sz w:val="22"/>
                <w:szCs w:val="22"/>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770"/>
        </w:trPr>
        <w:tc>
          <w:tcPr>
            <w:tcW w:w="51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4" w:right="8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Vikas Sinha, certify that:</w:t>
      </w:r>
    </w:p>
    <w:p>
      <w:pPr>
        <w:spacing w:after="0" w:line="216" w:lineRule="exact"/>
        <w:rPr>
          <w:sz w:val="20"/>
          <w:szCs w:val="20"/>
          <w:color w:val="auto"/>
        </w:rPr>
      </w:pPr>
    </w:p>
    <w:p>
      <w:pPr>
        <w:ind w:left="660" w:hanging="650"/>
        <w:spacing w:after="0"/>
        <w:tabs>
          <w:tab w:leader="none" w:pos="660"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have reviewed this Quarterly Report on Form 10-Q of Scholar Rock Holding Corporation;</w:t>
      </w:r>
    </w:p>
    <w:p>
      <w:pPr>
        <w:spacing w:after="0" w:line="215" w:lineRule="exact"/>
        <w:rPr>
          <w:rFonts w:ascii="Times New Roman" w:cs="Times New Roman" w:eastAsia="Times New Roman" w:hAnsi="Times New Roman"/>
          <w:sz w:val="20"/>
          <w:szCs w:val="20"/>
          <w:color w:val="010000"/>
        </w:rPr>
      </w:pPr>
    </w:p>
    <w:p>
      <w:pPr>
        <w:jc w:val="both"/>
        <w:ind w:left="660" w:right="200" w:hanging="650"/>
        <w:spacing w:after="0" w:line="254" w:lineRule="auto"/>
        <w:tabs>
          <w:tab w:leader="none" w:pos="65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010000"/>
        </w:rPr>
      </w:pPr>
    </w:p>
    <w:p>
      <w:pPr>
        <w:ind w:left="660" w:right="160" w:hanging="650"/>
        <w:spacing w:after="0" w:line="254" w:lineRule="auto"/>
        <w:tabs>
          <w:tab w:leader="none" w:pos="65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010000"/>
        </w:rPr>
      </w:pPr>
    </w:p>
    <w:p>
      <w:pPr>
        <w:ind w:left="660" w:right="80" w:hanging="650"/>
        <w:spacing w:after="0" w:line="254" w:lineRule="auto"/>
        <w:tabs>
          <w:tab w:leader="none" w:pos="65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010000"/>
        </w:rPr>
      </w:pPr>
    </w:p>
    <w:p>
      <w:pPr>
        <w:ind w:left="1300" w:right="180" w:hanging="642"/>
        <w:spacing w:after="0" w:line="249" w:lineRule="auto"/>
        <w:tabs>
          <w:tab w:leader="none" w:pos="1300" w:val="left"/>
        </w:tabs>
        <w:numPr>
          <w:ilvl w:val="1"/>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010000"/>
        </w:rPr>
      </w:pPr>
    </w:p>
    <w:p>
      <w:pPr>
        <w:ind w:left="1300" w:right="140" w:hanging="642"/>
        <w:spacing w:after="0" w:line="249" w:lineRule="auto"/>
        <w:tabs>
          <w:tab w:leader="none" w:pos="1311" w:val="left"/>
        </w:tabs>
        <w:numPr>
          <w:ilvl w:val="1"/>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010000"/>
        </w:rPr>
      </w:pPr>
    </w:p>
    <w:p>
      <w:pPr>
        <w:jc w:val="both"/>
        <w:ind w:left="1300" w:hanging="642"/>
        <w:spacing w:after="0" w:line="254" w:lineRule="auto"/>
        <w:tabs>
          <w:tab w:leader="none" w:pos="1300" w:val="left"/>
        </w:tabs>
        <w:numPr>
          <w:ilvl w:val="1"/>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010000"/>
        </w:rPr>
      </w:pPr>
    </w:p>
    <w:p>
      <w:pPr>
        <w:ind w:left="1300" w:right="260" w:hanging="642"/>
        <w:spacing w:after="0" w:line="249" w:lineRule="auto"/>
        <w:tabs>
          <w:tab w:leader="none" w:pos="1311" w:val="left"/>
        </w:tabs>
        <w:numPr>
          <w:ilvl w:val="1"/>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010000"/>
        </w:rPr>
      </w:pPr>
    </w:p>
    <w:p>
      <w:pPr>
        <w:ind w:left="660" w:right="20" w:hanging="650"/>
        <w:spacing w:after="0" w:line="254" w:lineRule="auto"/>
        <w:tabs>
          <w:tab w:leader="none" w:pos="65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010000"/>
        </w:rPr>
      </w:pPr>
    </w:p>
    <w:p>
      <w:pPr>
        <w:ind w:left="1300" w:right="100" w:hanging="642"/>
        <w:spacing w:after="0" w:line="254" w:lineRule="auto"/>
        <w:tabs>
          <w:tab w:leader="none" w:pos="1300" w:val="left"/>
        </w:tabs>
        <w:numPr>
          <w:ilvl w:val="1"/>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010000"/>
        </w:rPr>
      </w:pPr>
    </w:p>
    <w:p>
      <w:pPr>
        <w:ind w:left="1300" w:right="40" w:hanging="642"/>
        <w:spacing w:after="0" w:line="269" w:lineRule="auto"/>
        <w:tabs>
          <w:tab w:leader="none" w:pos="1301"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May 7, 2026</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Vikas Sinha</w:t>
            </w:r>
          </w:p>
        </w:tc>
      </w:tr>
      <w:tr>
        <w:trPr>
          <w:trHeight w:val="200"/>
        </w:trPr>
        <w:tc>
          <w:tcPr>
            <w:tcW w:w="5120" w:type="dxa"/>
            <w:vAlign w:val="bottom"/>
          </w:tcPr>
          <w:p>
            <w:pPr>
              <w:spacing w:after="0"/>
              <w:rPr>
                <w:sz w:val="17"/>
                <w:szCs w:val="17"/>
                <w:color w:val="auto"/>
              </w:rPr>
            </w:pPr>
          </w:p>
        </w:tc>
        <w:tc>
          <w:tcPr>
            <w:tcW w:w="510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Vikas Sinha</w:t>
            </w:r>
          </w:p>
        </w:tc>
        <w:tc>
          <w:tcPr>
            <w:tcW w:w="20" w:type="dxa"/>
            <w:vAlign w:val="bottom"/>
          </w:tcPr>
          <w:p>
            <w:pPr>
              <w:spacing w:after="0"/>
              <w:rPr>
                <w:sz w:val="17"/>
                <w:szCs w:val="17"/>
                <w:color w:val="auto"/>
              </w:rPr>
            </w:pPr>
          </w:p>
        </w:tc>
      </w:tr>
      <w:tr>
        <w:trPr>
          <w:trHeight w:val="229"/>
        </w:trPr>
        <w:tc>
          <w:tcPr>
            <w:tcW w:w="5120" w:type="dxa"/>
            <w:vAlign w:val="bottom"/>
          </w:tcPr>
          <w:p>
            <w:pPr>
              <w:spacing w:after="0"/>
              <w:rPr>
                <w:sz w:val="19"/>
                <w:szCs w:val="19"/>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5120" w:type="dxa"/>
            <w:vAlign w:val="bottom"/>
          </w:tcPr>
          <w:p>
            <w:pPr>
              <w:spacing w:after="0"/>
              <w:rPr>
                <w:sz w:val="22"/>
                <w:szCs w:val="22"/>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r>
        <w:trPr>
          <w:trHeight w:val="770"/>
        </w:trPr>
        <w:tc>
          <w:tcPr>
            <w:tcW w:w="51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4" w:right="8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20"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Scholar Rock Holding Corporation (the “Company”) for the period ended March 31, 2026 as filed with the Securities and Exchange Commission on the date hereof (the “Report”), each of the undersigned officers of the Company certifies, pursuant to 18 U.S.C. Section 1350, as adopted pursuant to Section 906 of the Sarbanes-Oxley Act of 2002, to his or her knowledge, that:</w:t>
      </w:r>
    </w:p>
    <w:p>
      <w:pPr>
        <w:spacing w:after="0" w:line="180" w:lineRule="exact"/>
        <w:rPr>
          <w:sz w:val="20"/>
          <w:szCs w:val="20"/>
          <w:color w:val="auto"/>
        </w:rPr>
      </w:pPr>
    </w:p>
    <w:p>
      <w:pPr>
        <w:ind w:left="660" w:right="120" w:hanging="652"/>
        <w:spacing w:after="0" w:line="269"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as applicable,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80" w:hanging="652"/>
        <w:spacing w:after="0" w:line="269"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This certification is being provided pursuant to 18 U.S.C. 1350 and is not to be deemed a part of the Report, nor is it to be deemed to be “filed” for any purpose whatsoever.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Hallal</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David Hallal</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6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Vikas Sinha</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Vikas Sinha</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lvl w:ilvl="1">
      <w:lvlJc w:val="left"/>
      <w:lvlText w:val="o"/>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04"/>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93" Type="http://schemas.openxmlformats.org/officeDocument/2006/relationships/hyperlink" Target="http://www.sec.gov/Archives/edgar/data/1727196/000104746918003566/a2235535zex-3_2.htm" TargetMode="External"/><Relationship Id="rId94" Type="http://schemas.openxmlformats.org/officeDocument/2006/relationships/hyperlink" Target="http://www.sec.gov/Archives/edgar/data/1727196/000104746918003733/a2235690zex-3_11.htm" TargetMode="External"/><Relationship Id="rId95" Type="http://schemas.openxmlformats.org/officeDocument/2006/relationships/hyperlink" Target="https://www.sec.gov/Archives/edgar/data/1727196/000155837024009582/srrk-20240627xex3d1.htm" TargetMode="External"/><Relationship Id="rId96" Type="http://schemas.openxmlformats.org/officeDocument/2006/relationships/hyperlink" Target="http://www.sec.gov/Archives/edgar/data/1727196/000104746918003566/a2235535zex-3_4.htm" TargetMode="External"/><Relationship Id="rId97" Type="http://schemas.openxmlformats.org/officeDocument/2006/relationships/hyperlink" Target="https://www.sec.gov/Archives/edgar/data/1727196/000110465926022551/srrk-20251231xex10d34.htm" TargetMode="External"/><Relationship Id="rId98" Type="http://schemas.openxmlformats.org/officeDocument/2006/relationships/hyperlink" Target="https://www.sec.gov/Archives/edgar/data/1727196/000110465926022553/srrk-20260303xex99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2026-05-07T06:19:05Z</dcterms:created>
  <dcterms:modified xsi:type="dcterms:W3CDTF">2026-05-07T06:19:05Z</dcterms:modified>
</cp:coreProperties>
</file>