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39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Reed Joshua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Scholar Rock Holding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SRRK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5"/>
              </w:rPr>
              <w:t>6,839</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0.00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22,571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45.33</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4,310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4,310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4,310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upon vesting of the RSU, one share of the Issuer's common stock. The shares subject to this RSU vest on the earlier of June 15, 2027 or on the date of the Issuer's next Annual Meeting subject to continued service to the Issuer through such date.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15,732 shares of common stock and 6,839 RSUs.</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to vest and become fully exercisable on the earlier of the first anniversary following the date of grant or on the date of the Issuer's next Annual Meeting, subject to continued service to the Issuer through such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Junlin Ho, Attorney-in-Fact  </w:t>
      </w:r>
      <w:r>
        <w:rPr>
          <w:rFonts w:ascii="Times New Roman" w:cs="Times New Roman" w:eastAsia="Times New Roman" w:hAnsi="Times New Roman"/>
          <w:sz w:val="32"/>
          <w:szCs w:val="32"/>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2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Joshua Reed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690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02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6541" TargetMode="External"/><Relationship Id="rId14" Type="http://schemas.openxmlformats.org/officeDocument/2006/relationships/hyperlink" Target="http://www.sec.gov/cgi-bin/browse-edgar?action=getcompany&amp;CIK=00017271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2026-06-08T15:56:55Z</dcterms:created>
  <dcterms:modified xsi:type="dcterms:W3CDTF">2026-06-08T15:56:55Z</dcterms:modified>
</cp:coreProperties>
</file>