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160020</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4,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Scholar Rock Holding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9940"/>
          </w:cols>
          <w:pgMar w:left="980" w:top="995" w:right="979" w:bottom="1440" w:gutter="0" w:footer="0" w:header="0"/>
        </w:sectPr>
      </w:pPr>
    </w:p>
    <w:p>
      <w:pPr>
        <w:spacing w:after="0" w:line="215"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001-38501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82-3750435</w:t>
      </w:r>
    </w:p>
    <w:p>
      <w:pPr>
        <w:spacing w:after="0" w:line="31"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 w:lineRule="exact"/>
        <w:rPr>
          <w:sz w:val="24"/>
          <w:szCs w:val="24"/>
          <w:color w:val="auto"/>
        </w:rPr>
      </w:pPr>
    </w:p>
    <w:p>
      <w:pPr>
        <w:sectPr>
          <w:pgSz w:w="11900" w:h="16838" w:orient="portrait"/>
          <w:cols w:equalWidth="0" w:num="5">
            <w:col w:w="2780" w:space="720"/>
            <w:col w:w="140" w:space="320"/>
            <w:col w:w="2000" w:space="380"/>
            <w:col w:w="140" w:space="260"/>
            <w:col w:w="3200"/>
          </w:cols>
          <w:pgMar w:left="980" w:top="995" w:right="97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9940"/>
          </w:cols>
          <w:pgMar w:left="980" w:top="995" w:right="979" w:bottom="1440" w:gutter="0" w:footer="0" w:header="0"/>
          <w:type w:val="continuous"/>
        </w:sectPr>
      </w:pP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301 Binney Street, 3rd Floor, Cambridge, MA 02142</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(857) 259-3860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460" w:hanging="451"/>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1"/>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1"/>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440" w:firstLine="9"/>
        <w:spacing w:after="0" w:line="532" w:lineRule="auto"/>
        <w:tabs>
          <w:tab w:leader="none" w:pos="44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6"/>
        </w:trPr>
        <w:tc>
          <w:tcPr>
            <w:tcW w:w="3500" w:type="dxa"/>
            <w:vAlign w:val="bottom"/>
            <w:tcBorders>
              <w:top w:val="single" w:sz="8" w:color="auto"/>
              <w:left w:val="single" w:sz="8" w:color="auto"/>
              <w:right w:val="single" w:sz="8" w:color="auto"/>
            </w:tcBorders>
          </w:tcPr>
          <w:p>
            <w:pPr>
              <w:ind w:left="1080"/>
              <w:spacing w:after="0" w:line="206"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3180" w:type="dxa"/>
            <w:vAlign w:val="bottom"/>
            <w:tcBorders>
              <w:top w:val="single" w:sz="8" w:color="auto"/>
              <w:right w:val="single" w:sz="8" w:color="auto"/>
            </w:tcBorders>
          </w:tcPr>
          <w:p>
            <w:pPr>
              <w:ind w:left="860"/>
              <w:spacing w:after="0" w:line="206" w:lineRule="exact"/>
              <w:rPr>
                <w:sz w:val="20"/>
                <w:szCs w:val="20"/>
                <w:color w:val="auto"/>
              </w:rPr>
            </w:pPr>
            <w:r>
              <w:rPr>
                <w:rFonts w:ascii="Times New Roman" w:cs="Times New Roman" w:eastAsia="Times New Roman" w:hAnsi="Times New Roman"/>
                <w:sz w:val="18"/>
                <w:szCs w:val="18"/>
                <w:b w:val="1"/>
                <w:bCs w:val="1"/>
                <w:color w:val="auto"/>
              </w:rPr>
              <w:t>Trading Symbol(s)</w:t>
            </w:r>
          </w:p>
        </w:tc>
        <w:tc>
          <w:tcPr>
            <w:tcW w:w="3260" w:type="dxa"/>
            <w:vAlign w:val="bottom"/>
            <w:tcBorders>
              <w:top w:val="single" w:sz="8" w:color="auto"/>
              <w:right w:val="single" w:sz="8" w:color="auto"/>
            </w:tcBorders>
          </w:tcPr>
          <w:p>
            <w:pPr>
              <w:jc w:val="right"/>
              <w:ind w:right="290"/>
              <w:spacing w:after="0" w:line="206"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3500" w:type="dxa"/>
            <w:vAlign w:val="bottom"/>
            <w:tcBorders>
              <w:left w:val="single" w:sz="8" w:color="auto"/>
              <w:bottom w:val="single" w:sz="8" w:color="auto"/>
              <w:right w:val="single" w:sz="8" w:color="auto"/>
            </w:tcBorders>
          </w:tcPr>
          <w:p>
            <w:pPr>
              <w:spacing w:after="0"/>
              <w:rPr>
                <w:sz w:val="21"/>
                <w:szCs w:val="21"/>
                <w:color w:val="auto"/>
              </w:rPr>
            </w:pPr>
          </w:p>
        </w:tc>
        <w:tc>
          <w:tcPr>
            <w:tcW w:w="3180" w:type="dxa"/>
            <w:vAlign w:val="bottom"/>
            <w:tcBorders>
              <w:bottom w:val="single" w:sz="8" w:color="auto"/>
              <w:right w:val="single" w:sz="8" w:color="auto"/>
            </w:tcBorders>
          </w:tcPr>
          <w:p>
            <w:pPr>
              <w:spacing w:after="0"/>
              <w:rPr>
                <w:sz w:val="21"/>
                <w:szCs w:val="21"/>
                <w:color w:val="auto"/>
              </w:rPr>
            </w:pPr>
          </w:p>
        </w:tc>
        <w:tc>
          <w:tcPr>
            <w:tcW w:w="326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39"/>
        </w:trPr>
        <w:tc>
          <w:tcPr>
            <w:tcW w:w="350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3180" w:type="dxa"/>
            <w:vAlign w:val="bottom"/>
            <w:tcBorders>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SRRK</w:t>
            </w:r>
          </w:p>
        </w:tc>
        <w:tc>
          <w:tcPr>
            <w:tcW w:w="326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98" w:lineRule="exact"/>
        <w:rPr>
          <w:sz w:val="24"/>
          <w:szCs w:val="24"/>
          <w:color w:val="auto"/>
        </w:rPr>
      </w:pPr>
    </w:p>
    <w:p>
      <w:pPr>
        <w:ind w:right="2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70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951865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437515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995" w:right="9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On June 4, 2026, Scholar Rock Holding Corporation (the “Company”) held its annual meeting of stockholders (the “Annual Meeting”) to consider and vote on the three proposals set forth below, each of which is described in greater detail in the Company’s definitive proxy statement filed with the U.S. Securities and Exchange Commission on April 22, 2026. The final voting results are set forth below.</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Proposal 1 – Election of Directors</w:t>
      </w:r>
    </w:p>
    <w:p>
      <w:pPr>
        <w:spacing w:after="0" w:line="225" w:lineRule="exact"/>
        <w:rPr>
          <w:sz w:val="20"/>
          <w:szCs w:val="20"/>
          <w:color w:val="auto"/>
        </w:rPr>
      </w:pPr>
    </w:p>
    <w:p>
      <w:pPr>
        <w:ind w:left="60" w:right="259"/>
        <w:spacing w:after="0" w:line="289" w:lineRule="auto"/>
        <w:rPr>
          <w:sz w:val="20"/>
          <w:szCs w:val="20"/>
          <w:color w:val="auto"/>
        </w:rPr>
      </w:pPr>
      <w:r>
        <w:rPr>
          <w:rFonts w:ascii="Times New Roman" w:cs="Times New Roman" w:eastAsia="Times New Roman" w:hAnsi="Times New Roman"/>
          <w:sz w:val="17"/>
          <w:szCs w:val="17"/>
          <w:color w:val="auto"/>
        </w:rPr>
        <w:t>The stockholders elected each of the persons named below to serve as a Class II director of the Company for a three-year term that expires at the Company’s annual meeting of stockholders in 2029 and until their successors, if any, are duly elected and qualified, subject to their earlier death, resignation or removal. The results of such vote were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Name</w:t>
            </w:r>
          </w:p>
        </w:tc>
        <w:tc>
          <w:tcPr>
            <w:tcW w:w="20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r>
      <w:tr>
        <w:trPr>
          <w:trHeight w:val="229"/>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Hallal</w:t>
            </w:r>
          </w:p>
        </w:tc>
        <w:tc>
          <w:tcPr>
            <w:tcW w:w="208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95,951,390</w:t>
            </w:r>
          </w:p>
        </w:tc>
        <w:tc>
          <w:tcPr>
            <w:tcW w:w="21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14,916,507</w:t>
            </w:r>
          </w:p>
        </w:tc>
        <w:tc>
          <w:tcPr>
            <w:tcW w:w="20" w:type="dxa"/>
            <w:vAlign w:val="bottom"/>
            <w:shd w:val="clear" w:color="auto" w:fill="CCEEFF"/>
          </w:tcPr>
          <w:p>
            <w:pPr>
              <w:spacing w:after="0"/>
              <w:rPr>
                <w:sz w:val="19"/>
                <w:szCs w:val="19"/>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Kristina Burow</w:t>
            </w:r>
          </w:p>
        </w:tc>
        <w:tc>
          <w:tcPr>
            <w:tcW w:w="20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90,456,354</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20,411,543</w:t>
            </w:r>
          </w:p>
        </w:tc>
        <w:tc>
          <w:tcPr>
            <w:tcW w:w="2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Gilman, Ph.D.</w:t>
            </w:r>
          </w:p>
        </w:tc>
        <w:tc>
          <w:tcPr>
            <w:tcW w:w="208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86,753,433</w:t>
            </w:r>
          </w:p>
        </w:tc>
        <w:tc>
          <w:tcPr>
            <w:tcW w:w="21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24,114,464</w:t>
            </w:r>
          </w:p>
        </w:tc>
        <w:tc>
          <w:tcPr>
            <w:tcW w:w="2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Katie Peng</w:t>
            </w:r>
          </w:p>
        </w:tc>
        <w:tc>
          <w:tcPr>
            <w:tcW w:w="20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96,269,103</w:t>
            </w:r>
          </w:p>
        </w:tc>
        <w:tc>
          <w:tcPr>
            <w:tcW w:w="2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14,598,794</w:t>
            </w:r>
          </w:p>
        </w:tc>
        <w:tc>
          <w:tcPr>
            <w:tcW w:w="20" w:type="dxa"/>
            <w:vAlign w:val="bottom"/>
          </w:tcPr>
          <w:p>
            <w:pPr>
              <w:spacing w:after="0"/>
              <w:rPr>
                <w:sz w:val="20"/>
                <w:szCs w:val="20"/>
                <w:color w:val="auto"/>
              </w:rPr>
            </w:pPr>
          </w:p>
        </w:tc>
      </w:tr>
    </w:tbl>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Proposal 2 – Ratification of Appointment of Independent Registered Public Accounting Firm</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Deloitte &amp; Touche LLP as the Company’s independent registered public accounting firm for the fiscal year ending December 31, 2026. The results of such vote were as follows:</w:t>
      </w:r>
    </w:p>
    <w:p>
      <w:pPr>
        <w:spacing w:after="0" w:line="158" w:lineRule="exact"/>
        <w:rPr>
          <w:sz w:val="20"/>
          <w:szCs w:val="20"/>
          <w:color w:val="auto"/>
        </w:rPr>
      </w:pPr>
    </w:p>
    <w:tbl>
      <w:tblPr>
        <w:tblLayout w:type="fixed"/>
        <w:tblInd w:w="1500" w:type="dxa"/>
        <w:tblCellMar>
          <w:top w:w="0" w:type="dxa"/>
          <w:left w:w="0" w:type="dxa"/>
          <w:bottom w:w="0" w:type="dxa"/>
          <w:right w:w="0" w:type="dxa"/>
        </w:tblCellMar>
      </w:tblPr>
      <w:tr>
        <w:trPr>
          <w:trHeight w:val="245"/>
        </w:trPr>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3"/>
        </w:trPr>
        <w:tc>
          <w:tcPr>
            <w:tcW w:w="19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113,411,438</w:t>
            </w:r>
          </w:p>
        </w:tc>
        <w:tc>
          <w:tcPr>
            <w:tcW w:w="214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764,548</w:t>
            </w:r>
          </w:p>
        </w:tc>
        <w:tc>
          <w:tcPr>
            <w:tcW w:w="19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500,031</w:t>
            </w:r>
          </w:p>
        </w:tc>
      </w:tr>
    </w:tbl>
    <w:p>
      <w:pPr>
        <w:spacing w:after="0" w:line="198"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3 – Approval of the Compensation of the Company’s Named Executive Officers on a Non-Binding, Advisory Basis</w:t>
      </w:r>
    </w:p>
    <w:p>
      <w:pPr>
        <w:spacing w:after="0" w:line="162"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The stockholders approved, on a non-binding, advisory basis, the compensation of the Company’s named executive officers. The results of such vote were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18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46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30"/>
        </w:trPr>
        <w:tc>
          <w:tcPr>
            <w:tcW w:w="1460" w:type="dxa"/>
            <w:vAlign w:val="bottom"/>
          </w:tcPr>
          <w:p>
            <w:pPr>
              <w:spacing w:after="0"/>
              <w:rPr>
                <w:sz w:val="19"/>
                <w:szCs w:val="19"/>
                <w:color w:val="auto"/>
              </w:rPr>
            </w:pPr>
          </w:p>
        </w:tc>
        <w:tc>
          <w:tcPr>
            <w:tcW w:w="1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68,280,961</w:t>
            </w:r>
          </w:p>
        </w:tc>
        <w:tc>
          <w:tcPr>
            <w:tcW w:w="21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42,455,921</w:t>
            </w:r>
          </w:p>
        </w:tc>
        <w:tc>
          <w:tcPr>
            <w:tcW w:w="20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131,015</w:t>
            </w:r>
          </w:p>
        </w:tc>
        <w:tc>
          <w:tcPr>
            <w:tcW w:w="1440" w:type="dxa"/>
            <w:vAlign w:val="bottom"/>
          </w:tcPr>
          <w:p>
            <w:pPr>
              <w:spacing w:after="0"/>
              <w:rPr>
                <w:sz w:val="19"/>
                <w:szCs w:val="19"/>
                <w:color w:val="auto"/>
              </w:rPr>
            </w:pPr>
          </w:p>
        </w:tc>
      </w:tr>
      <w:tr>
        <w:trPr>
          <w:trHeight w:val="2531"/>
        </w:trPr>
        <w:tc>
          <w:tcPr>
            <w:tcW w:w="14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Scholar Rock Holding Corporation</w:t>
      </w:r>
    </w:p>
    <w:p>
      <w:pPr>
        <w:spacing w:after="0" w:line="229" w:lineRule="exact"/>
        <w:rPr>
          <w:sz w:val="20"/>
          <w:szCs w:val="20"/>
          <w:color w:val="auto"/>
        </w:rPr>
      </w:pPr>
    </w:p>
    <w:p>
      <w:pPr>
        <w:ind w:left="60"/>
        <w:spacing w:after="0"/>
        <w:tabs>
          <w:tab w:leader="none" w:pos="458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7"/>
          <w:szCs w:val="17"/>
          <w:color w:val="auto"/>
        </w:rPr>
        <w:t>By:/s/ Junlin Ho</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Junlin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-127635</wp:posOffset>
            </wp:positionV>
            <wp:extent cx="2597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631825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2026-06-05T05:28:12Z</dcterms:created>
  <dcterms:modified xsi:type="dcterms:W3CDTF">2026-06-05T05:28:12Z</dcterms:modified>
</cp:coreProperties>
</file>